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661d8k.htm"/>
      <w:bookmarkStart w:id="1" w:name="ksd1456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Lumexa Imaging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2825"/>
        <w:gridCol w:w="60"/>
        <w:gridCol w:w="1055"/>
        <w:gridCol w:w="60"/>
        <w:gridCol w:w="137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001-43010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41-2605845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4200 Six Forks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1000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Raleigh, North Carolina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27609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(919) 763-1100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145"/>
        <w:gridCol w:w="60"/>
        <w:gridCol w:w="62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LMRI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12, 2026, Lumexa Imaging Holdings, Inc. (the “Company”) issued a press release announcing the Company’s financial results for the quarter ended March 31, 2026. A copy of the press release is furnished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2.02 of this report, including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incorporates it by reference into a filing under the Securities Act of 1933 or the Exchange Act.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described under Item 2.02 above is incorporated by reference in this Item 7.01.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545"/>
        <w:gridCol w:w="120"/>
        <w:gridCol w:w="762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b/>
                <w:i/>
                <w:sz w:val="16"/>
              </w:rPr>
            </w:pPr>
            <w:r>
              <w:rPr>
                <w:rFonts w:ascii="Times New Roman" w:hAnsi="Times New Roman"/>
                <w:b/>
                <w:i/>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5661dex991.htm">
              <w:r>
                <w:rPr>
                  <w:rStyle w:val="InternetLink"/>
                </w:rPr>
                <w:t>Press Release dated May 12, 2026</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77" w:type="dxa"/>
        <w:jc w:val="left"/>
        <w:tblInd w:w="0" w:type="dxa"/>
        <w:tblLayout w:type="fixed"/>
        <w:tblCellMar>
          <w:top w:w="0" w:type="dxa"/>
          <w:left w:w="0" w:type="dxa"/>
          <w:bottom w:w="0" w:type="dxa"/>
          <w:right w:w="0" w:type="dxa"/>
        </w:tblCellMar>
      </w:tblPr>
      <w:tblGrid>
        <w:gridCol w:w="1940"/>
        <w:gridCol w:w="60"/>
        <w:gridCol w:w="23"/>
        <w:gridCol w:w="60"/>
        <w:gridCol w:w="951"/>
        <w:gridCol w:w="87"/>
        <w:gridCol w:w="3256"/>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b/>
              </w:rPr>
            </w:pPr>
            <w:r>
              <w:rPr>
                <w:b/>
              </w:rPr>
              <w:t>LUMEXA IMAGING HOLDINGS,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11" w:type="dxa"/>
            <w:gridSpan w:val="2"/>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By:</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Anthony Martin</w:t>
            </w:r>
          </w:p>
        </w:tc>
      </w:tr>
      <w:tr>
        <w:trPr/>
        <w:tc>
          <w:tcPr>
            <w:tcW w:w="1940" w:type="dxa"/>
            <w:tcBorders/>
            <w:vAlign w:val="center"/>
          </w:tcPr>
          <w:p>
            <w:pPr>
              <w:pStyle w:val="TableContents"/>
              <w:bidi w:val="0"/>
              <w:spacing w:before="0" w:after="283"/>
              <w:jc w:val="left"/>
              <w:rPr/>
            </w:pPr>
            <w:r>
              <w:rPr/>
              <w:t>Date: May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Name:</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J. Anthony Martin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Title:</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45661dex991.htm"/>
      <w:bookmarkStart w:id="3" w:name="ksd14566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811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7239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Lumexa Imaging Announces First Quarter 2026 Results </w:t>
      </w:r>
    </w:p>
    <w:p>
      <w:pPr>
        <w:pStyle w:val="TextBody"/>
        <w:bidi w:val="0"/>
        <w:spacing w:before="120" w:after="0"/>
        <w:jc w:val="left"/>
        <w:rPr>
          <w:rFonts w:ascii="Times New Roman" w:hAnsi="Times New Roman"/>
          <w:sz w:val="20"/>
        </w:rPr>
      </w:pPr>
      <w:r>
        <w:rPr>
          <w:rFonts w:ascii="Times New Roman" w:hAnsi="Times New Roman"/>
          <w:sz w:val="20"/>
        </w:rPr>
        <w:t>RALEIGH, NORTH CAROLINA, May 12, 2026—Lumexa Imaging (Nasdaq: LMRI), one of the nation’s largest providers of outpatient imaging services, today announced results for the first quarter ended March 31, 2026, and reiterated full year 2026 guidance.</w:t>
      </w:r>
    </w:p>
    <w:p>
      <w:pPr>
        <w:pStyle w:val="TextBody"/>
        <w:bidi w:val="0"/>
        <w:spacing w:before="240" w:after="0"/>
        <w:jc w:val="left"/>
        <w:rPr/>
      </w:pPr>
      <w:r>
        <w:rPr/>
        <w:t>“</w:t>
      </w:r>
      <w:r>
        <w:rPr>
          <w:rFonts w:ascii="Times New Roman" w:hAnsi="Times New Roman"/>
          <w:sz w:val="20"/>
        </w:rPr>
        <w:t xml:space="preserve">In Q1, we delivered several meaningful achievements to kick off a year of executing on our strategic priorities.” said Caitlin Zulla, Chief Executive Officer of Lumexa Imaging. “We continued to drive strong growth in same-center advanced imaging volumes and our de novo centers are ramping according to our plans.” </w:t>
      </w:r>
    </w:p>
    <w:p>
      <w:pPr>
        <w:pStyle w:val="TextBody"/>
        <w:bidi w:val="0"/>
        <w:spacing w:before="240" w:after="0"/>
        <w:jc w:val="left"/>
        <w:rPr/>
      </w:pPr>
      <w:r>
        <w:rPr/>
        <w:t>“</w:t>
      </w:r>
      <w:r>
        <w:rPr>
          <w:rFonts w:ascii="Times New Roman" w:hAnsi="Times New Roman"/>
          <w:sz w:val="20"/>
        </w:rPr>
        <w:t xml:space="preserve">We are also announcing tonight four additional Lumexa Imaging centers including two strategic tuck-in acquisitions plus two de novos. We are well on our way to achieving our stated goal of adding 8-10 de novos to our network of centers this year.” Ms. Zulla continued, “With a large addressable market, and strong demand tailwinds plus a focused strategy centered on same-center growth, geographic expansion, and advanced imaging, we believe Lumexa Imaging is well positioned to deliver sustained, profitable growth while expanding access to high-quality, lower-cost imaging for patients, providers, and payors.”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to the quarter ended March 31, 2025, unless otherwise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revenues of $252.5 million, an increase of 3.1% from $245.0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System-wide revenue growth of 4.0%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 center advanced volume growth: 5.6% for both consolidated and system-wide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$1.7 million as compared to net loss of $7.7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$51.2 million as compared to $51.0 million; and a 20.3% Adjusted EBITDA margin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EPS of $0.02 per share and Adjusted EPS of $0.18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Outpatient Volumes: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5"/>
        <w:gridCol w:w="158"/>
        <w:gridCol w:w="60"/>
        <w:gridCol w:w="810"/>
        <w:gridCol w:w="276"/>
        <w:gridCol w:w="112"/>
        <w:gridCol w:w="60"/>
        <w:gridCol w:w="810"/>
        <w:gridCol w:w="276"/>
        <w:gridCol w:w="112"/>
        <w:gridCol w:w="68"/>
        <w:gridCol w:w="816"/>
        <w:gridCol w:w="282"/>
      </w:tblGrid>
      <w:tr>
        <w:trPr/>
        <w:tc>
          <w:tcPr>
            <w:tcW w:w="636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bottom"/>
          </w:tcPr>
          <w:p>
            <w:pPr>
              <w:pStyle w:val="TableContents"/>
              <w:bidi w:val="0"/>
              <w:spacing w:before="0" w:after="283"/>
              <w:jc w:val="left"/>
              <w:rPr>
                <w:b/>
                <w:sz w:val="20"/>
              </w:rPr>
            </w:pPr>
            <w:r>
              <w:rPr>
                <w:b/>
                <w:sz w:val="20"/>
              </w:rPr>
              <w:t>Consolidated</w:t>
            </w:r>
          </w:p>
        </w:tc>
        <w:tc>
          <w:tcPr>
            <w:tcW w:w="15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1Q26</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1Q25</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Increase</w:t>
              <w:br/>
              <w:t>YoY</w:t>
            </w:r>
          </w:p>
        </w:tc>
        <w:tc>
          <w:tcPr>
            <w:tcW w:w="282" w:type="dxa"/>
            <w:tcBorders/>
            <w:vAlign w:val="bottom"/>
          </w:tcPr>
          <w:p>
            <w:pPr>
              <w:pStyle w:val="TableContents"/>
              <w:bidi w:val="0"/>
              <w:spacing w:before="0" w:after="283"/>
              <w:jc w:val="left"/>
              <w:rPr/>
            </w:pPr>
            <w:r>
              <w:rPr/>
              <w:t> </w:t>
            </w:r>
          </w:p>
        </w:tc>
      </w:tr>
      <w:tr>
        <w:trPr/>
        <w:tc>
          <w:tcPr>
            <w:tcW w:w="6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total procedures</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586,337</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579,084</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1.3</w:t>
            </w:r>
          </w:p>
        </w:tc>
        <w:tc>
          <w:tcPr>
            <w:tcW w:w="282" w:type="dxa"/>
            <w:tcBorders/>
            <w:shd w:fill="CCEEFF" w:val="clear"/>
            <w:vAlign w:val="bottom"/>
          </w:tcPr>
          <w:p>
            <w:pPr>
              <w:pStyle w:val="TableContents"/>
              <w:bidi w:val="0"/>
              <w:spacing w:before="0" w:after="283"/>
              <w:jc w:val="left"/>
              <w:rPr/>
            </w:pPr>
            <w:r>
              <w:rPr/>
              <w:t>% </w:t>
            </w:r>
          </w:p>
        </w:tc>
      </w:tr>
      <w:tr>
        <w:trPr/>
        <w:tc>
          <w:tcPr>
            <w:tcW w:w="636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advanced procedures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182,176</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170,497</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6.8</w:t>
            </w:r>
          </w:p>
        </w:tc>
        <w:tc>
          <w:tcPr>
            <w:tcW w:w="282" w:type="dxa"/>
            <w:tcBorders/>
            <w:vAlign w:val="bottom"/>
          </w:tcPr>
          <w:p>
            <w:pPr>
              <w:pStyle w:val="TableContents"/>
              <w:bidi w:val="0"/>
              <w:spacing w:before="0" w:after="283"/>
              <w:jc w:val="left"/>
              <w:rPr/>
            </w:pPr>
            <w:r>
              <w:rPr/>
              <w:t>% </w:t>
            </w:r>
          </w:p>
        </w:tc>
      </w:tr>
      <w:tr>
        <w:trPr/>
        <w:tc>
          <w:tcPr>
            <w:tcW w:w="6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advanced procedures</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31.1</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29.4</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170bps</w:t>
            </w:r>
          </w:p>
        </w:tc>
        <w:tc>
          <w:tcPr>
            <w:tcW w:w="282" w:type="dxa"/>
            <w:tcBorders/>
            <w:shd w:fill="CCEEFF" w:val="clear"/>
            <w:vAlign w:val="bottom"/>
          </w:tcPr>
          <w:p>
            <w:pPr>
              <w:pStyle w:val="TableContents"/>
              <w:bidi w:val="0"/>
              <w:spacing w:before="0" w:after="283"/>
              <w:jc w:val="left"/>
              <w:rPr/>
            </w:pPr>
            <w:r>
              <w:rPr/>
              <w:t> </w:t>
            </w:r>
          </w:p>
        </w:tc>
      </w:tr>
      <w:tr>
        <w:trPr/>
        <w:tc>
          <w:tcPr>
            <w:tcW w:w="636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same-center advanced volume growth</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5.6</w:t>
            </w:r>
          </w:p>
        </w:tc>
        <w:tc>
          <w:tcPr>
            <w:tcW w:w="282" w:type="dxa"/>
            <w:tcBorders/>
            <w:vAlign w:val="bottom"/>
          </w:tcPr>
          <w:p>
            <w:pPr>
              <w:pStyle w:val="TableContents"/>
              <w:bidi w:val="0"/>
              <w:spacing w:before="0" w:after="283"/>
              <w:jc w:val="left"/>
              <w:rPr/>
            </w:pPr>
            <w:r>
              <w:rPr/>
              <w:t>% </w:t>
            </w:r>
          </w:p>
        </w:tc>
      </w:tr>
      <w:tr>
        <w:trPr/>
        <w:tc>
          <w:tcPr>
            <w:tcW w:w="6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System-wide</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6365" w:type="dxa"/>
            <w:tcBorders/>
          </w:tcPr>
          <w:p>
            <w:pPr>
              <w:pStyle w:val="TableContents"/>
              <w:bidi w:val="0"/>
              <w:spacing w:before="0" w:after="0"/>
              <w:jc w:val="left"/>
              <w:rPr>
                <w:rFonts w:ascii="Times New Roman" w:hAnsi="Times New Roman"/>
                <w:sz w:val="20"/>
              </w:rPr>
            </w:pPr>
            <w:r>
              <w:rPr>
                <w:rFonts w:ascii="Times New Roman" w:hAnsi="Times New Roman"/>
                <w:sz w:val="20"/>
              </w:rPr>
              <w:t>System-wide total procedures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966,934</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943,490</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2.5</w:t>
            </w:r>
          </w:p>
        </w:tc>
        <w:tc>
          <w:tcPr>
            <w:tcW w:w="282" w:type="dxa"/>
            <w:tcBorders/>
            <w:vAlign w:val="bottom"/>
          </w:tcPr>
          <w:p>
            <w:pPr>
              <w:pStyle w:val="TableContents"/>
              <w:bidi w:val="0"/>
              <w:spacing w:before="0" w:after="283"/>
              <w:jc w:val="left"/>
              <w:rPr/>
            </w:pPr>
            <w:r>
              <w:rPr/>
              <w:t>% </w:t>
            </w:r>
          </w:p>
        </w:tc>
      </w:tr>
      <w:tr>
        <w:trPr/>
        <w:tc>
          <w:tcPr>
            <w:tcW w:w="6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System-wide advanced procedures</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357,592</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334,642</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6.9</w:t>
            </w:r>
          </w:p>
        </w:tc>
        <w:tc>
          <w:tcPr>
            <w:tcW w:w="282" w:type="dxa"/>
            <w:tcBorders/>
            <w:shd w:fill="CCEEFF" w:val="clear"/>
            <w:vAlign w:val="bottom"/>
          </w:tcPr>
          <w:p>
            <w:pPr>
              <w:pStyle w:val="TableContents"/>
              <w:bidi w:val="0"/>
              <w:spacing w:before="0" w:after="283"/>
              <w:jc w:val="left"/>
              <w:rPr/>
            </w:pPr>
            <w:r>
              <w:rPr/>
              <w:t>% </w:t>
            </w:r>
          </w:p>
        </w:tc>
      </w:tr>
      <w:tr>
        <w:trPr/>
        <w:tc>
          <w:tcPr>
            <w:tcW w:w="6365" w:type="dxa"/>
            <w:tcBorders/>
          </w:tcPr>
          <w:p>
            <w:pPr>
              <w:pStyle w:val="TableContents"/>
              <w:bidi w:val="0"/>
              <w:spacing w:before="0" w:after="0"/>
              <w:jc w:val="left"/>
              <w:rPr>
                <w:rFonts w:ascii="Times New Roman" w:hAnsi="Times New Roman"/>
                <w:sz w:val="20"/>
              </w:rPr>
            </w:pPr>
            <w:r>
              <w:rPr>
                <w:rFonts w:ascii="Times New Roman" w:hAnsi="Times New Roman"/>
                <w:sz w:val="20"/>
              </w:rPr>
              <w:t>% advanced procedures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37.0</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35.5</w:t>
            </w:r>
          </w:p>
        </w:tc>
        <w:tc>
          <w:tcPr>
            <w:tcW w:w="27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150bps</w:t>
            </w:r>
          </w:p>
        </w:tc>
        <w:tc>
          <w:tcPr>
            <w:tcW w:w="282" w:type="dxa"/>
            <w:tcBorders/>
            <w:vAlign w:val="bottom"/>
          </w:tcPr>
          <w:p>
            <w:pPr>
              <w:pStyle w:val="TableContents"/>
              <w:bidi w:val="0"/>
              <w:spacing w:before="0" w:after="283"/>
              <w:jc w:val="left"/>
              <w:rPr/>
            </w:pPr>
            <w:r>
              <w:rPr/>
              <w:t> </w:t>
            </w:r>
          </w:p>
        </w:tc>
      </w:tr>
      <w:tr>
        <w:trPr/>
        <w:tc>
          <w:tcPr>
            <w:tcW w:w="6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System-wide same-center advanced volume growth</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5.6</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i/>
          <w:sz w:val="20"/>
        </w:rPr>
        <w:t>Note: Advanced Procedures includes MRI and CT modalities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2026 Full Year Outlook: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reiterating its outlook for the year ending December 31, 2026. Lumexa Imaging continues to expect: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revenues of $1.045 to $1.097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$234 to $242 million. This includes approximately $7 million of public company costs that were not incurred in 2025. (At the midpoint of guidance, the addition of these costs lowers Adjusted EBITDA growth for 2026 versus 2025 from 7% to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EPS of $0.71 to $0.77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Lumexa Imaging Earnings 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Lumexa Imaging will host a conference call to discuss its first quarter 2026 results, as well as its 2026 outlook, on May 12, 2026 at 5:00 p.m. ET. The call can be accessed via live audio webcast online at ir.lumexaimaging.com. A replay of the webcast will be available at the same link shortly after the completion of the call and will remain available for approximately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Statement Regarding 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uses Adjusted EBITDA and Adjusted EPS, financial measures that are not calculated in accordance with GAAP. We use Adjusted EBITDA and Adjusted EPS,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review and assess the operating performance of our management team; and (iv) analyze and evaluate financial and strategic planning decisions regarding future operations and annual operating budgets. For a reconciliation of Adjusted EBITDA and Adjusted EPS to the most directly comparable measure calculated in accordance with GAAP, please see below. </w:t>
      </w:r>
    </w:p>
    <w:p>
      <w:pPr>
        <w:pStyle w:val="TextBody"/>
        <w:bidi w:val="0"/>
        <w:spacing w:before="240" w:after="0"/>
        <w:jc w:val="left"/>
        <w:rPr>
          <w:rFonts w:ascii="Times New Roman" w:hAnsi="Times New Roman"/>
          <w:sz w:val="20"/>
        </w:rPr>
      </w:pPr>
      <w:r>
        <w:rPr>
          <w:rFonts w:ascii="Times New Roman" w:hAnsi="Times New Roman"/>
          <w:sz w:val="20"/>
        </w:rPr>
        <w:t xml:space="preserve">We have not reconciled our Adjusted EBITDA or Adjusted EPS guidance to their most directly comparable GAAP measures because we do not and are not able to provide guidance for those GAAP measures due to the uncertainty and potential variability of certain reconciling items, including transaction costs, severance and executive recruiting. Because such items cannot be provided without unreasonable efforts, we are unable to provide the corresponding reconciliations. However, such reconciling items could have a significant impact on our future results.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Lumexa Imaging </w:t>
      </w:r>
    </w:p>
    <w:p>
      <w:pPr>
        <w:pStyle w:val="TextBody"/>
        <w:bidi w:val="0"/>
        <w:spacing w:before="120" w:after="0"/>
        <w:jc w:val="left"/>
        <w:rPr>
          <w:rFonts w:ascii="Times New Roman" w:hAnsi="Times New Roman"/>
          <w:sz w:val="20"/>
        </w:rPr>
      </w:pPr>
      <w:r>
        <w:rPr>
          <w:rFonts w:ascii="Times New Roman" w:hAnsi="Times New Roman"/>
          <w:sz w:val="20"/>
        </w:rPr>
        <w:t xml:space="preserve">Lumexa Imaging is a nationwide provider of outpatient medical imaging. With over 5,000 team members and greater than 190 outpatient imaging centers, our team conducted approximately 4 million outpatient procedures system-wide in 2025. We are a partner of choice for health systems and radiologists, delivering best-in-class clinical excellence, operations, and state-of-the-art technology across our platform.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Section 27A of the Securities Act of 1933, as amended, Section 21E of the Securities Exchange Act of 1934, as amended, and the Private Securities Litigation Reform Act of 1995. All statements other than statements of historical facts contained in this press release may be forward-looking statements. Forward-looking statements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in this release include, but are not limited to, statements regarding our expectations regarding our financial position and operating performance, including our guidance for full year 2026 and our assumptions underlying such guidance; our ability to drive future growth and execute on our goals and strategies; and our expectations regarding our product innovation. Our expectations and beliefs regarding these matters may not materialize, and actual results in future periods are subject to risks and uncertainties that could cause actual results to differ materially from those projected, including but not limited to those risk factors identified in the “Risk Factors” and “Management’s Discussion and Analysis of Financial Condition and Results of Operations” sections of our Annual Report on Form 10-K for the year ended December 31, 2025, each as filed with the Securities and Exchange Commission (SEC). The forward-looking statements in this press release are based on information available to us as of the date hereof, and we disclaim any obligations to update any forward-looking statements, except as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Sue Dooley </w:t>
      </w:r>
    </w:p>
    <w:p>
      <w:pPr>
        <w:pStyle w:val="TextBody"/>
        <w:bidi w:val="0"/>
        <w:spacing w:before="0" w:after="0"/>
        <w:jc w:val="left"/>
        <w:rPr>
          <w:rFonts w:ascii="Times New Roman" w:hAnsi="Times New Roman"/>
          <w:sz w:val="20"/>
        </w:rPr>
      </w:pPr>
      <w:r>
        <w:rPr>
          <w:rFonts w:ascii="Times New Roman" w:hAnsi="Times New Roman"/>
          <w:sz w:val="20"/>
        </w:rPr>
        <w:t xml:space="preserve">Lumexa Imaging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sue.dooley@Lumexaimaging.com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Melissa Weston </w:t>
      </w:r>
    </w:p>
    <w:p>
      <w:pPr>
        <w:pStyle w:val="TextBody"/>
        <w:bidi w:val="0"/>
        <w:spacing w:before="0" w:after="0"/>
        <w:jc w:val="left"/>
        <w:rPr>
          <w:rFonts w:ascii="Times New Roman" w:hAnsi="Times New Roman"/>
          <w:sz w:val="20"/>
        </w:rPr>
      </w:pPr>
      <w:r>
        <w:rPr>
          <w:rFonts w:ascii="Times New Roman" w:hAnsi="Times New Roman"/>
          <w:sz w:val="20"/>
        </w:rPr>
        <w:t xml:space="preserve">Lumexa Imaging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Melissa.Weston@LumexaImaging.com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COMMON SHARES)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9"/>
        <w:gridCol w:w="139"/>
        <w:gridCol w:w="140"/>
        <w:gridCol w:w="1465"/>
        <w:gridCol w:w="155"/>
        <w:gridCol w:w="106"/>
        <w:gridCol w:w="150"/>
        <w:gridCol w:w="1612"/>
        <w:gridCol w:w="159"/>
      </w:tblGrid>
      <w:tr>
        <w:trPr/>
        <w:tc>
          <w:tcPr>
            <w:tcW w:w="627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61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5" w:type="dxa"/>
            <w:tcBorders/>
            <w:vAlign w:val="bottom"/>
          </w:tcPr>
          <w:p>
            <w:pPr>
              <w:pStyle w:val="TableContents"/>
              <w:bidi w:val="0"/>
              <w:spacing w:before="0" w:after="283"/>
              <w:jc w:val="right"/>
              <w:rPr/>
            </w:pPr>
            <w:r>
              <w:rPr/>
              <w:t>51,226</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612" w:type="dxa"/>
            <w:tcBorders/>
            <w:vAlign w:val="bottom"/>
          </w:tcPr>
          <w:p>
            <w:pPr>
              <w:pStyle w:val="TableContents"/>
              <w:bidi w:val="0"/>
              <w:spacing w:before="0" w:after="283"/>
              <w:jc w:val="right"/>
              <w:rPr/>
            </w:pPr>
            <w:r>
              <w:rPr/>
              <w:t>58,828</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118,141</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112,942</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related party</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15,942</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18,893</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20,045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19,015</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16,534</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17,582</w:t>
            </w:r>
          </w:p>
        </w:tc>
        <w:tc>
          <w:tcPr>
            <w:tcW w:w="159" w:type="dxa"/>
            <w:tcBorders/>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221,888</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227,260</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150,127</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144,709</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76,175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76,555</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affiliates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420,519</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423,191</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 of accumulated amortization</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40,245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41,335</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807,554</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807,554</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46,845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43,953</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5" w:type="dxa"/>
            <w:tcBorders/>
            <w:vAlign w:val="bottom"/>
          </w:tcPr>
          <w:p>
            <w:pPr>
              <w:pStyle w:val="TableContents"/>
              <w:bidi w:val="0"/>
              <w:spacing w:before="0" w:after="283"/>
              <w:jc w:val="right"/>
              <w:rPr/>
            </w:pPr>
            <w:r>
              <w:rPr/>
              <w:t>1,763,353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612" w:type="dxa"/>
            <w:tcBorders/>
            <w:vAlign w:val="bottom"/>
          </w:tcPr>
          <w:p>
            <w:pPr>
              <w:pStyle w:val="TableContents"/>
              <w:bidi w:val="0"/>
              <w:spacing w:before="0" w:after="283"/>
              <w:jc w:val="right"/>
              <w:rPr/>
            </w:pPr>
            <w:r>
              <w:rPr/>
              <w:t>1,764,557</w:t>
            </w:r>
          </w:p>
        </w:tc>
        <w:tc>
          <w:tcPr>
            <w:tcW w:w="159" w:type="dxa"/>
            <w:tcBorders/>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6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61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65" w:type="dxa"/>
            <w:tcBorders/>
            <w:vAlign w:val="bottom"/>
          </w:tcPr>
          <w:p>
            <w:pPr>
              <w:pStyle w:val="TableContents"/>
              <w:bidi w:val="0"/>
              <w:spacing w:before="0" w:after="283"/>
              <w:jc w:val="right"/>
              <w:rPr/>
            </w:pPr>
            <w:r>
              <w:rPr/>
              <w:t>37,168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612" w:type="dxa"/>
            <w:tcBorders/>
            <w:vAlign w:val="bottom"/>
          </w:tcPr>
          <w:p>
            <w:pPr>
              <w:pStyle w:val="TableContents"/>
              <w:bidi w:val="0"/>
              <w:spacing w:before="0" w:after="283"/>
              <w:jc w:val="right"/>
              <w:rPr/>
            </w:pPr>
            <w:r>
              <w:rPr/>
              <w:t>44,857</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80,174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95,561</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pledging arrangement</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1,693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1,599</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13,437</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13,112</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liabilities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13,408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11,552</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12,053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12,513</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157,933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179,194</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816,974</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819,029</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Long-term finance lease liabilities, less current maturities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38,483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33,262</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less current maturities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71,402</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71,437</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41,498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40,772</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37,443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34,740</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1,163,733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1,178,434</w:t>
            </w:r>
          </w:p>
        </w:tc>
        <w:tc>
          <w:tcPr>
            <w:tcW w:w="159" w:type="dxa"/>
            <w:tcBorders/>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61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9"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61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1,000,000,000 shares authorized, 96,080,735 shares issued and outstanding at March 31, 2026 and 96,109,927 shares issued and outstanding at December 31, 2025</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96</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1,228,867</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1,217,087</w:t>
            </w:r>
          </w:p>
        </w:tc>
        <w:tc>
          <w:tcPr>
            <w:tcW w:w="159" w:type="dxa"/>
            <w:tcBorders/>
            <w:vAlign w:val="bottom"/>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(629,343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(631,060</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599,620</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586,123</w:t>
            </w:r>
          </w:p>
        </w:tc>
        <w:tc>
          <w:tcPr>
            <w:tcW w:w="159" w:type="dxa"/>
            <w:tcBorders/>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5" w:type="dxa"/>
            <w:tcBorders/>
            <w:shd w:fill="CCEEFF" w:val="clear"/>
            <w:vAlign w:val="bottom"/>
          </w:tcPr>
          <w:p>
            <w:pPr>
              <w:pStyle w:val="TableContents"/>
              <w:bidi w:val="0"/>
              <w:spacing w:before="0" w:after="283"/>
              <w:jc w:val="right"/>
              <w:rPr/>
            </w:pPr>
            <w:r>
              <w:rPr/>
              <w:t>  </w:t>
            </w:r>
            <w:r>
              <w:rPr/>
              <w:t>1,763,353</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612" w:type="dxa"/>
            <w:tcBorders/>
            <w:shd w:fill="CCEEFF" w:val="clear"/>
            <w:vAlign w:val="bottom"/>
          </w:tcPr>
          <w:p>
            <w:pPr>
              <w:pStyle w:val="TableContents"/>
              <w:bidi w:val="0"/>
              <w:spacing w:before="0" w:after="283"/>
              <w:jc w:val="right"/>
              <w:rPr/>
            </w:pPr>
            <w:r>
              <w:rPr/>
              <w:t>  </w:t>
            </w:r>
            <w:r>
              <w:rPr/>
              <w:t>1,764,557</w:t>
            </w:r>
          </w:p>
        </w:tc>
        <w:tc>
          <w:tcPr>
            <w:tcW w:w="159" w:type="dxa"/>
            <w:tcBorders/>
            <w:shd w:fill="CCEEFF" w:val="clear"/>
            <w:vAlign w:val="bottom"/>
          </w:tcPr>
          <w:p>
            <w:pPr>
              <w:pStyle w:val="TableContents"/>
              <w:bidi w:val="0"/>
              <w:spacing w:before="0" w:after="283"/>
              <w:jc w:val="left"/>
              <w:rPr/>
            </w:pPr>
            <w:r>
              <w:rPr/>
              <w:t> </w:t>
            </w:r>
          </w:p>
        </w:tc>
      </w:tr>
      <w:tr>
        <w:trPr/>
        <w:tc>
          <w:tcPr>
            <w:tcW w:w="62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6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5"/>
        <w:gridCol w:w="298"/>
        <w:gridCol w:w="140"/>
        <w:gridCol w:w="1113"/>
        <w:gridCol w:w="60"/>
        <w:gridCol w:w="298"/>
        <w:gridCol w:w="140"/>
        <w:gridCol w:w="1113"/>
        <w:gridCol w:w="158"/>
      </w:tblGrid>
      <w:tr>
        <w:trPr/>
        <w:tc>
          <w:tcPr>
            <w:tcW w:w="688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Net patient service revenue</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197,318</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192,298</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 and other revenue</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55,219</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52,703</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252,537</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245,001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Cost of operations, excluding depreciation and amortization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217,755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208,397</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20,335</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17,492</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9,922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9,051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137</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(162</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248,149</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234,778</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affiliates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15,024</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15,318</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19,412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25,541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16,331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29,849</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3,081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(4,308</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1,364</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3,379</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1,717</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(7,687</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95,983,233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69,523,369</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95,983,243</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69,523,369</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(0.11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(0.11</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5"/>
        <w:gridCol w:w="150"/>
        <w:gridCol w:w="169"/>
        <w:gridCol w:w="1433"/>
        <w:gridCol w:w="187"/>
        <w:gridCol w:w="117"/>
        <w:gridCol w:w="169"/>
        <w:gridCol w:w="1267"/>
        <w:gridCol w:w="158"/>
      </w:tblGrid>
      <w:tr>
        <w:trPr/>
        <w:tc>
          <w:tcPr>
            <w:tcW w:w="65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433" w:type="dxa"/>
            <w:tcBorders/>
            <w:vAlign w:val="bottom"/>
          </w:tcPr>
          <w:p>
            <w:pPr>
              <w:pStyle w:val="TableContents"/>
              <w:bidi w:val="0"/>
              <w:spacing w:before="0" w:after="283"/>
              <w:jc w:val="right"/>
              <w:rPr/>
            </w:pPr>
            <w:r>
              <w:rPr/>
              <w:t>1,717</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67" w:type="dxa"/>
            <w:tcBorders/>
            <w:vAlign w:val="bottom"/>
          </w:tcPr>
          <w:p>
            <w:pPr>
              <w:pStyle w:val="TableContents"/>
              <w:bidi w:val="0"/>
              <w:spacing w:before="0" w:after="283"/>
              <w:jc w:val="right"/>
              <w:rPr/>
            </w:pPr>
            <w:r>
              <w:rPr/>
              <w:t>(7,687</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9,922</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9,051</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3,957</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3,739</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717</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1,433</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cloud computing implementation costs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161</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113</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affiliates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(15,024</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(15,318</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from investments in unconsolidated affiliates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17,696</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18,281</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137</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(162</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726</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1,499</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12,274</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6,374</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(494</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433"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(5,199</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(8,470</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related party</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2,951</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85</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cloud computing implementation costs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(1,982</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(1,356</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(1,030</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(5,955</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1,570</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(1,994</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(2,363</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(9,083</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(7,738</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2,490</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(13,697</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(11,322</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2,703</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7,555</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(4,072</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(3,235</w:t>
            </w:r>
          </w:p>
        </w:tc>
        <w:tc>
          <w:tcPr>
            <w:tcW w:w="158" w:type="dxa"/>
            <w:tcBorders/>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2,932</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(13,962</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433"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or disposal of property and equipment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40</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281</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(5,314</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(1,001</w:t>
            </w:r>
          </w:p>
        </w:tc>
        <w:tc>
          <w:tcPr>
            <w:tcW w:w="158" w:type="dxa"/>
            <w:tcBorders/>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(5,274</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(720</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433"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long-term debt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(3,227</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(3,893</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issuance costs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1,122</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496</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finance lease liabilities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(3,249</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(1,409</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Capital contributions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660</w:t>
            </w:r>
          </w:p>
        </w:tc>
        <w:tc>
          <w:tcPr>
            <w:tcW w:w="158" w:type="dxa"/>
            <w:tcBorders/>
            <w:vAlign w:val="bottom"/>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accounts receivable pledging arrangement</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94</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(5,260</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(4,146</w:t>
            </w:r>
          </w:p>
        </w:tc>
        <w:tc>
          <w:tcPr>
            <w:tcW w:w="158" w:type="dxa"/>
            <w:tcBorders/>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(7,602</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(18,828</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58,828</w:t>
            </w:r>
          </w:p>
        </w:tc>
        <w:tc>
          <w:tcPr>
            <w:tcW w:w="18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26,131</w:t>
            </w:r>
          </w:p>
        </w:tc>
        <w:tc>
          <w:tcPr>
            <w:tcW w:w="158" w:type="dxa"/>
            <w:tcBorders/>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433"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5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433" w:type="dxa"/>
            <w:tcBorders/>
            <w:shd w:fill="CCEEFF" w:val="clear"/>
            <w:vAlign w:val="bottom"/>
          </w:tcPr>
          <w:p>
            <w:pPr>
              <w:pStyle w:val="TableContents"/>
              <w:bidi w:val="0"/>
              <w:spacing w:before="0" w:after="283"/>
              <w:jc w:val="right"/>
              <w:rPr/>
            </w:pPr>
            <w:r>
              <w:rPr/>
              <w:t>  </w:t>
            </w:r>
            <w:r>
              <w:rPr/>
              <w:t>51,226</w:t>
            </w:r>
          </w:p>
        </w:tc>
        <w:tc>
          <w:tcPr>
            <w:tcW w:w="18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67" w:type="dxa"/>
            <w:tcBorders/>
            <w:shd w:fill="CCEEFF" w:val="clear"/>
            <w:vAlign w:val="bottom"/>
          </w:tcPr>
          <w:p>
            <w:pPr>
              <w:pStyle w:val="TableContents"/>
              <w:bidi w:val="0"/>
              <w:spacing w:before="0" w:after="283"/>
              <w:jc w:val="right"/>
              <w:rPr/>
            </w:pPr>
            <w:r>
              <w:rPr/>
              <w:t>  </w:t>
            </w:r>
            <w:r>
              <w:rPr/>
              <w:t>7,303</w:t>
            </w:r>
          </w:p>
        </w:tc>
        <w:tc>
          <w:tcPr>
            <w:tcW w:w="158" w:type="dxa"/>
            <w:tcBorders/>
            <w:shd w:fill="CCEEFF" w:val="clear"/>
            <w:vAlign w:val="bottom"/>
          </w:tcPr>
          <w:p>
            <w:pPr>
              <w:pStyle w:val="TableContents"/>
              <w:bidi w:val="0"/>
              <w:spacing w:before="0" w:after="283"/>
              <w:jc w:val="left"/>
              <w:rPr/>
            </w:pPr>
            <w:r>
              <w:rPr/>
              <w:t> </w:t>
            </w:r>
          </w:p>
        </w:tc>
      </w:tr>
      <w:tr>
        <w:trPr/>
        <w:tc>
          <w:tcPr>
            <w:tcW w:w="6555"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433"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NET INCOME (LOSS) TO ADJUSTED EBITDA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74"/>
        <w:gridCol w:w="147"/>
        <w:gridCol w:w="162"/>
        <w:gridCol w:w="1353"/>
        <w:gridCol w:w="179"/>
        <w:gridCol w:w="115"/>
        <w:gridCol w:w="162"/>
        <w:gridCol w:w="1355"/>
        <w:gridCol w:w="158"/>
      </w:tblGrid>
      <w:tr>
        <w:trPr/>
        <w:tc>
          <w:tcPr>
            <w:tcW w:w="657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7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3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57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1,717</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(7,687</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9,922</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9,051</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1,364</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3,379</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basis difference</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531</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500</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16,331</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29,849</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12,274</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6,374</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137</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(162</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945</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1,370</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825</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868</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2,582</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3,588</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29</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(128</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(5</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6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14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4,547</w:t>
            </w:r>
          </w:p>
        </w:tc>
        <w:tc>
          <w:tcPr>
            <w:tcW w:w="179"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3,975</w:t>
            </w:r>
          </w:p>
        </w:tc>
        <w:tc>
          <w:tcPr>
            <w:tcW w:w="158" w:type="dxa"/>
            <w:tcBorders/>
            <w:shd w:fill="CCEEFF" w:val="clear"/>
            <w:vAlign w:val="bottom"/>
          </w:tcPr>
          <w:p>
            <w:pPr>
              <w:pStyle w:val="TableContents"/>
              <w:bidi w:val="0"/>
              <w:spacing w:before="0" w:after="283"/>
              <w:jc w:val="left"/>
              <w:rPr/>
            </w:pPr>
            <w:r>
              <w:rPr/>
              <w:t> </w:t>
            </w:r>
          </w:p>
        </w:tc>
      </w:tr>
      <w:tr>
        <w:trPr/>
        <w:tc>
          <w:tcPr>
            <w:tcW w:w="657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74"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  </w:t>
            </w:r>
            <w:r>
              <w:rPr/>
              <w:t>51,199</w:t>
            </w:r>
          </w:p>
        </w:tc>
        <w:tc>
          <w:tcPr>
            <w:tcW w:w="179"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  </w:t>
            </w:r>
            <w:r>
              <w:rPr/>
              <w:t>50,999</w:t>
            </w:r>
          </w:p>
        </w:tc>
        <w:tc>
          <w:tcPr>
            <w:tcW w:w="158" w:type="dxa"/>
            <w:tcBorders/>
            <w:vAlign w:val="bottom"/>
          </w:tcPr>
          <w:p>
            <w:pPr>
              <w:pStyle w:val="TableContents"/>
              <w:bidi w:val="0"/>
              <w:spacing w:before="0" w:after="283"/>
              <w:jc w:val="left"/>
              <w:rPr/>
            </w:pPr>
            <w:r>
              <w:rPr/>
              <w:t> </w:t>
            </w:r>
          </w:p>
        </w:tc>
      </w:tr>
      <w:tr>
        <w:trPr/>
        <w:tc>
          <w:tcPr>
            <w:tcW w:w="657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353" w:type="dxa"/>
            <w:tcBorders/>
            <w:vAlign w:val="bottom"/>
          </w:tcPr>
          <w:p>
            <w:pPr>
              <w:pStyle w:val="TableContents"/>
              <w:pBdr>
                <w:top w:val="double" w:sz="6" w:space="1" w:color="000000"/>
              </w:pBdr>
              <w:bidi w:val="0"/>
              <w:spacing w:before="0" w:after="0"/>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for third party non-recurring IPO costs, buy-side and sell-side due diligence activities to evaluate and execute potential mergers and acquisitions, integrate acquired businesses and one-time employee retention bonuses related to potential mergers and acquisitions.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litigation and settlement costs for matters not related to core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other costs related to debt financing, certain de novo start-up costs related to outpatient imaging centers and certain exit costs related to closed outpatient imaging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adjust for Lumexa Imaging’s proportional share of depreciation and amortization, interest expense and losses/gains on asset disposals, which are included in equity in earnings from unconsolidated affiliates.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ADJUSTED EARNINGS AND EARNINGS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1"/>
        <w:gridCol w:w="370"/>
        <w:gridCol w:w="140"/>
        <w:gridCol w:w="1113"/>
        <w:gridCol w:w="155"/>
        <w:gridCol w:w="324"/>
        <w:gridCol w:w="140"/>
        <w:gridCol w:w="1113"/>
        <w:gridCol w:w="159"/>
      </w:tblGrid>
      <w:tr>
        <w:trPr/>
        <w:tc>
          <w:tcPr>
            <w:tcW w:w="6691"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1"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9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691"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Net income (loss)</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1,717</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(7,687</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6691"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736" w:type="dxa"/>
            <w:gridSpan w:val="4"/>
            <w:tcBorders/>
            <w:vAlign w:val="center"/>
          </w:tcPr>
          <w:p>
            <w:pPr>
              <w:pStyle w:val="TableContents"/>
              <w:bidi w:val="0"/>
              <w:spacing w:before="0" w:after="283"/>
              <w:jc w:val="left"/>
              <w:rPr>
                <w:sz w:val="4"/>
                <w:szCs w:val="4"/>
              </w:rPr>
            </w:pPr>
            <w:r>
              <w:rPr>
                <w:sz w:val="4"/>
                <w:szCs w:val="4"/>
              </w:rPr>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12,274</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6,374</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(162</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945</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1,370</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868</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2,582</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3,588</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(128</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(27</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adjustments</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17,183</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11,905</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impact of adjustments(7)</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(1,968</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(1,381</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16,932</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2,837</w:t>
            </w:r>
          </w:p>
        </w:tc>
        <w:tc>
          <w:tcPr>
            <w:tcW w:w="159" w:type="dxa"/>
            <w:tcBorders/>
            <w:vAlign w:val="bottom"/>
          </w:tcPr>
          <w:p>
            <w:pPr>
              <w:pStyle w:val="TableContents"/>
              <w:bidi w:val="0"/>
              <w:spacing w:before="0" w:after="283"/>
              <w:jc w:val="left"/>
              <w:rPr/>
            </w:pPr>
            <w:r>
              <w:rPr/>
              <w:t> </w:t>
            </w:r>
          </w:p>
        </w:tc>
      </w:tr>
      <w:tr>
        <w:trPr/>
        <w:tc>
          <w:tcPr>
            <w:tcW w:w="669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95,983,233</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69,523,369</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95,983,243</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69,523,369</w:t>
            </w:r>
          </w:p>
        </w:tc>
        <w:tc>
          <w:tcPr>
            <w:tcW w:w="159" w:type="dxa"/>
            <w:tcBorders/>
            <w:shd w:fill="CCEEFF" w:val="clear"/>
            <w:vAlign w:val="bottom"/>
          </w:tcPr>
          <w:p>
            <w:pPr>
              <w:pStyle w:val="TableContents"/>
              <w:bidi w:val="0"/>
              <w:spacing w:before="0" w:after="283"/>
              <w:jc w:val="left"/>
              <w:rPr/>
            </w:pPr>
            <w:r>
              <w:rPr/>
              <w:t> </w:t>
            </w:r>
          </w:p>
        </w:tc>
      </w:tr>
      <w:tr>
        <w:trPr/>
        <w:tc>
          <w:tcPr>
            <w:tcW w:w="6691" w:type="dxa"/>
            <w:tcBorders/>
          </w:tcPr>
          <w:p>
            <w:pPr>
              <w:pStyle w:val="TableContents"/>
              <w:bidi w:val="0"/>
              <w:spacing w:before="0" w:after="0"/>
              <w:jc w:val="left"/>
              <w:rPr>
                <w:rFonts w:ascii="Times New Roman" w:hAnsi="Times New Roman"/>
                <w:sz w:val="20"/>
              </w:rPr>
            </w:pPr>
            <w:r>
              <w:rPr>
                <w:rFonts w:ascii="Times New Roman" w:hAnsi="Times New Roman"/>
                <w:sz w:val="20"/>
              </w:rPr>
              <w:t>Adjusted basic net income per share</w:t>
            </w:r>
          </w:p>
        </w:tc>
        <w:tc>
          <w:tcPr>
            <w:tcW w:w="3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0.18</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0.04</w:t>
            </w:r>
          </w:p>
        </w:tc>
        <w:tc>
          <w:tcPr>
            <w:tcW w:w="159" w:type="dxa"/>
            <w:tcBorders/>
            <w:vAlign w:val="bottom"/>
          </w:tcPr>
          <w:p>
            <w:pPr>
              <w:pStyle w:val="TableContents"/>
              <w:bidi w:val="0"/>
              <w:spacing w:before="0" w:after="283"/>
              <w:jc w:val="left"/>
              <w:rPr/>
            </w:pPr>
            <w:r>
              <w:rPr/>
              <w:t> </w:t>
            </w:r>
          </w:p>
        </w:tc>
      </w:tr>
      <w:tr>
        <w:trPr/>
        <w:tc>
          <w:tcPr>
            <w:tcW w:w="6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net income per share</w:t>
            </w:r>
          </w:p>
        </w:tc>
        <w:tc>
          <w:tcPr>
            <w:tcW w:w="3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0.18</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0.04</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Includes costs for third party non-recurring IPO costs, buy-side and sell-side due diligence activities to evaluate and execute potential mergers and acquisitions, integrate acquired businesses and one-time employee retention bonuses related to potential mergers and acquisitions.</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litigation and settlement costs for matters not related to core operations.</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other costs related to debt financing, certain de novo start-up costs related to outpatient imaging centers and certain exit costs related to closed outpatient imaging centers.</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adjust for Lumexa Imaging’s proportional share of losses/gains on asset disposals, which are included in equity in earnings from unconsolidated affiliates.</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Tax effected adjustments using blended federal and state effective income tax rate.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DETAILS OF MANAGEMENT FEE AND OTHER REVENUES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6"/>
        <w:gridCol w:w="149"/>
        <w:gridCol w:w="164"/>
        <w:gridCol w:w="1373"/>
        <w:gridCol w:w="70"/>
        <w:gridCol w:w="162"/>
        <w:gridCol w:w="164"/>
        <w:gridCol w:w="1374"/>
        <w:gridCol w:w="63"/>
      </w:tblGrid>
      <w:tr>
        <w:trPr/>
        <w:tc>
          <w:tcPr>
            <w:tcW w:w="668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8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3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668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“management fee and other revenues:”</w:t>
            </w:r>
          </w:p>
        </w:tc>
        <w:tc>
          <w:tcPr>
            <w:tcW w:w="14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373"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86" w:type="dxa"/>
            <w:tcBorders/>
          </w:tcPr>
          <w:p>
            <w:pPr>
              <w:pStyle w:val="TableContents"/>
              <w:bidi w:val="0"/>
              <w:spacing w:before="0" w:after="0"/>
              <w:jc w:val="left"/>
              <w:rPr>
                <w:rFonts w:ascii="Times New Roman" w:hAnsi="Times New Roman"/>
                <w:sz w:val="20"/>
              </w:rPr>
            </w:pPr>
            <w:r>
              <w:rPr>
                <w:rFonts w:ascii="Times New Roman" w:hAnsi="Times New Roman"/>
                <w:sz w:val="20"/>
              </w:rPr>
              <w:t>Fees for managing joint ventured outpatient sites and other third party services</w:t>
            </w:r>
          </w:p>
        </w:tc>
        <w:tc>
          <w:tcPr>
            <w:tcW w:w="14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73" w:type="dxa"/>
            <w:tcBorders/>
            <w:vAlign w:val="bottom"/>
          </w:tcPr>
          <w:p>
            <w:pPr>
              <w:pStyle w:val="TableContents"/>
              <w:bidi w:val="0"/>
              <w:spacing w:before="0" w:after="283"/>
              <w:jc w:val="right"/>
              <w:rPr/>
            </w:pPr>
            <w:r>
              <w:rPr/>
              <w:t>21,498</w:t>
            </w:r>
          </w:p>
        </w:tc>
        <w:tc>
          <w:tcPr>
            <w:tcW w:w="7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20,076</w:t>
            </w:r>
          </w:p>
        </w:tc>
        <w:tc>
          <w:tcPr>
            <w:tcW w:w="63" w:type="dxa"/>
            <w:tcBorders/>
            <w:vAlign w:val="bottom"/>
          </w:tcPr>
          <w:p>
            <w:pPr>
              <w:pStyle w:val="TableContents"/>
              <w:bidi w:val="0"/>
              <w:spacing w:before="0" w:after="283"/>
              <w:jc w:val="left"/>
              <w:rPr/>
            </w:pPr>
            <w:r>
              <w:rPr/>
              <w:t> </w:t>
            </w:r>
          </w:p>
        </w:tc>
      </w:tr>
      <w:tr>
        <w:trPr/>
        <w:tc>
          <w:tcPr>
            <w:tcW w:w="6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Zero margin pass-throughs of employee, IT and other site level costs paid by Lumexa</w:t>
            </w:r>
          </w:p>
        </w:tc>
        <w:tc>
          <w:tcPr>
            <w:tcW w:w="14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33,721</w:t>
            </w:r>
          </w:p>
        </w:tc>
        <w:tc>
          <w:tcPr>
            <w:tcW w:w="7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32,627</w:t>
            </w:r>
          </w:p>
        </w:tc>
        <w:tc>
          <w:tcPr>
            <w:tcW w:w="63" w:type="dxa"/>
            <w:tcBorders/>
            <w:shd w:fill="CCEEFF" w:val="clear"/>
            <w:vAlign w:val="bottom"/>
          </w:tcPr>
          <w:p>
            <w:pPr>
              <w:pStyle w:val="TableContents"/>
              <w:bidi w:val="0"/>
              <w:spacing w:before="0" w:after="283"/>
              <w:jc w:val="left"/>
              <w:rPr/>
            </w:pPr>
            <w:r>
              <w:rPr/>
              <w:t> </w:t>
            </w:r>
          </w:p>
        </w:tc>
      </w:tr>
      <w:tr>
        <w:trPr/>
        <w:tc>
          <w:tcPr>
            <w:tcW w:w="6686"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7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8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73" w:type="dxa"/>
            <w:tcBorders/>
            <w:vAlign w:val="bottom"/>
          </w:tcPr>
          <w:p>
            <w:pPr>
              <w:pStyle w:val="TableContents"/>
              <w:bidi w:val="0"/>
              <w:spacing w:before="0" w:after="283"/>
              <w:jc w:val="right"/>
              <w:rPr/>
            </w:pPr>
            <w:r>
              <w:rPr/>
              <w:t>  </w:t>
            </w:r>
            <w:r>
              <w:rPr/>
              <w:t>55,219</w:t>
            </w:r>
          </w:p>
        </w:tc>
        <w:tc>
          <w:tcPr>
            <w:tcW w:w="7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  </w:t>
            </w:r>
            <w:r>
              <w:rPr/>
              <w:t>52,703</w:t>
            </w:r>
          </w:p>
        </w:tc>
        <w:tc>
          <w:tcPr>
            <w:tcW w:w="63" w:type="dxa"/>
            <w:tcBorders/>
            <w:vAlign w:val="bottom"/>
          </w:tcPr>
          <w:p>
            <w:pPr>
              <w:pStyle w:val="TableContents"/>
              <w:bidi w:val="0"/>
              <w:spacing w:before="0" w:after="283"/>
              <w:jc w:val="left"/>
              <w:rPr/>
            </w:pPr>
            <w:r>
              <w:rPr/>
              <w:t> </w:t>
            </w:r>
          </w:p>
        </w:tc>
      </w:tr>
      <w:tr>
        <w:trPr/>
        <w:tc>
          <w:tcPr>
            <w:tcW w:w="6686"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37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3006</Words>
  <Characters>17488</Characters>
  <CharactersWithSpaces>21330</CharactersWithSpaces>
  <Paragraphs>1797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