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Lumexa Imaging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001-43010</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41-2605845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4200 Six Forks Road</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Raleigh,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27609</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(919) 763-1100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LMRI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On March 26, 2026, Lumexa Imaging Holdings, Inc. (the “Company”) issued a press release announcing certain preliminary financial information for the quarter and year ended December 31, 2025. A copy of the press release is furnished as Exhibit 99.1 hereto.</w:t>
      </w:r>
    </w:p>
    <w:p>
      <w:pPr>
        <w:spacing w:after="0" w:line="16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preliminary financial information set forth in the press release for the quarter and year ended December 31, 2025 reflects preliminary, unaudited estimates with respect to such results based solely on currently available information, which is subject to change. The Company has not completed its normal quarterly and year-end closing procedures for the quarter and year ended December 31, 2025, and there can be no assurance that final results for the quarter and year-end will not differ materially from the preliminary financial information included in the press release, including as a result of year-end closing procedures, adjustments and the completion of the audit of the Company’s consolidated financial statements. These estimates should not be viewed as a substitute for the Company’s full consolidated financial statements prepared in accordance with accounting principles generally accepted in the United States of America. Accordingly, you should not place undue reliance on these preliminary unaudited results.</w:t>
      </w:r>
    </w:p>
    <w:p>
      <w:pPr>
        <w:spacing w:after="0" w:line="189"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certain statements set forth in such press release are forward-looking statements. The Company’s expectations and beliefs regarding such forward-looking statements may not materialize, and actual results in future periods are subject to risks and uncertainties that could cause actual results to differ materially from those projected.</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2.02 of this report, including Exhibit 99.1,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incorporates it by reference into a filing under the Securities Act of 1933 or the Exchange Act.</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described under Item 2.02 above is incorporated by reference in this Item 7.01.</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i w:val="1"/>
          <w:iCs w:val="1"/>
          <w:color w:val="auto"/>
        </w:rPr>
        <w:t>Exhibit</w:t>
      </w:r>
    </w:p>
    <w:p>
      <w:pPr>
        <w:spacing w:after="0" w:line="8" w:lineRule="exact"/>
        <w:rPr>
          <w:sz w:val="20"/>
          <w:szCs w:val="20"/>
          <w:color w:val="auto"/>
        </w:rPr>
      </w:pPr>
    </w:p>
    <w:p>
      <w:pPr>
        <w:ind w:left="124"/>
        <w:spacing w:after="0"/>
        <w:tabs>
          <w:tab w:leader="none" w:pos="844" w:val="left"/>
        </w:tabs>
        <w:rPr>
          <w:sz w:val="20"/>
          <w:szCs w:val="20"/>
          <w:color w:val="auto"/>
        </w:rPr>
      </w:pPr>
      <w:r>
        <w:rPr>
          <w:rFonts w:ascii="Times New Roman" w:cs="Times New Roman" w:eastAsia="Times New Roman" w:hAnsi="Times New Roman"/>
          <w:sz w:val="14"/>
          <w:szCs w:val="14"/>
          <w:b w:val="1"/>
          <w:bCs w:val="1"/>
          <w:i w:val="1"/>
          <w:iCs w:val="1"/>
          <w:color w:val="auto"/>
        </w:rPr>
        <w:t>No.</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82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26, 2026</w:t>
      </w:r>
    </w:p>
    <w:p>
      <w:pPr>
        <w:spacing w:after="0" w:line="117"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LUMEXA IMAGING HOLDINGS, INC.</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Anthony Martin</w:t>
            </w:r>
          </w:p>
        </w:tc>
      </w:tr>
      <w:tr>
        <w:trPr>
          <w:trHeight w:val="205"/>
        </w:trPr>
        <w:tc>
          <w:tcPr>
            <w:tcW w:w="3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March 26, 2026</w:t>
            </w: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 Anthony Martin</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42695"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26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Lumexa Imaging Announces Fourth Quarter and Full Year 2025 Results, Reiterates Full Year 2026 Guidance</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RALEIGH, NORTH CAROLINA, March 26, 2026—Lumexa Imaging (Nasdaq: LMRI), one of the nation’s largest providers of outpatient imaging services, today announced certain financial results for the fourth quarter ended December 31, 2025, and reiterated full year 2026 guidance. The financial results included in this release pertaining to the fourth quarter and full year 2025 are preliminary, unaudited, and subject to final review and adjustment.</w:t>
      </w:r>
    </w:p>
    <w:p>
      <w:pPr>
        <w:spacing w:after="0" w:line="1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fourth quarter of 2025 marked a strong close to an important year for Lumexa Imaging, with continued momentum across the business,” said Caitlin Zulla, Chief Executive Officer of Lumexa Imaging. “Strong Adjusted EBITDA growth was driven by advanced imaging volumes, ramping new de novo centers, and our return in-network with a large payer in New Jersey. We strengthened our balance sheet, reducing leverage by two turns, and opened a record number of de novo centers during the year, setting the stage for future growth.”</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Ms. Zulla continued, “Looking ahead, our 2026 outlook reflects continued growth and margin expansion, supported by durable demand tailwinds and the ongoing shift to outpatient care. With a focused strategy centered on same-center growth, geographic expansion, and advanced imaging, we believe Lumexa Imaging is well positioned to deliver sustained, profitable growth while expanding access to high-quality, lower-cost imaging for patients, providers, and payors.”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Highlights: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comparisons are to the quarter ended December 31, 2024, unless otherwise noted</w:t>
      </w:r>
    </w:p>
    <w:p>
      <w:pPr>
        <w:spacing w:after="0" w:line="133"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revenues of $267.7 million, an increase of 7.9% from $248.0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System-wide revenue growth of 10.6%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center advanced volume growth: 12.7% for consolidated and 9.2% for system-wide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$28.7 million compared to $25.1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$63.8 million, an increase of 18.6% from $53.7 million; and a 23.8% Adjusted EBITDA margin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 two-turn reduction in leverage from 5.5 times to 3.5 times, resulting in more than $50 million in annual cash savings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2025 Full Year Highlights: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comparisons are to the year ended December 31, 2024, unless otherwise noted</w:t>
      </w:r>
    </w:p>
    <w:p>
      <w:pPr>
        <w:spacing w:after="0" w:line="133"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ten new imaging facilities: Nine de novo centers (six wholly owned and three through joint ventures) and one acquired site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revenues of $1.023 billion, an increase of 7.8% from $948.9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System-wide revenue growth of 8.2%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center advanced volume growth: 8.0% for consolidated and 7.1% for system-wide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$47.1 million compared to $94.1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$230.2 million, an increase of 14.6% from $200.8 million; and a 22.5% Adjusted EBITDA margin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Outpatient Volumes: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Increase YoY</w:t>
            </w: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4Q25</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4Q24</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Increase YoY</w:t>
            </w: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total procedures</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97"/>
              </w:rPr>
              <w:t>2,418,096</w:t>
            </w: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2,312,645</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627,293</w:t>
            </w: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569,734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advanced procedures</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728,304</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675,697</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190,982</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167,184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advanced procedures</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30.1%</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12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90bps</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30.4%</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110bps</w:t>
            </w: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same-center advanced volume growth</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w:t>
            </w: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System-wide total procedures</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7"/>
              </w:rPr>
              <w:t>3,972,228</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3,840,624</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1,027,590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962,520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System-wide advanced procedures</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97"/>
              </w:rPr>
              <w:t>1,444,618</w:t>
            </w: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1,340,951</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379,527</w:t>
            </w: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341,859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advanced procedures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36.4%</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w:t>
            </w: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145bps</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36.9%</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142bps</w:t>
            </w: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System-wide same-center advanced volume growth</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Note: Advanced Procedures includes MRI and CT modalities</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Full Year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reiterating its outlook for the year ending December 31, 2026. Lumexa Imaging continues to expect:</w:t>
      </w:r>
    </w:p>
    <w:p>
      <w:pPr>
        <w:spacing w:after="0" w:line="13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revenues of $1.045 to $1.097 billion</w:t>
      </w:r>
    </w:p>
    <w:p>
      <w:pPr>
        <w:spacing w:after="0" w:line="130" w:lineRule="exact"/>
        <w:rPr>
          <w:rFonts w:ascii="Times New Roman" w:cs="Times New Roman" w:eastAsia="Times New Roman" w:hAnsi="Times New Roman"/>
          <w:sz w:val="18"/>
          <w:szCs w:val="18"/>
          <w:color w:val="auto"/>
        </w:rPr>
      </w:pPr>
    </w:p>
    <w:p>
      <w:pPr>
        <w:ind w:left="960" w:right="260" w:hanging="424"/>
        <w:spacing w:after="0" w:line="312"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of $234 to $242 million. This includes approximately $7 million of public company costs that were not incurred in 2025. (At the midpoint of guidance, the addition of these costs lowers Adjusted EBITDA growth for 2026 versus 2025 from 7% to 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providing guidance for Adjusted EPS of $0.71 to $0.77 per share</w:t>
      </w:r>
    </w:p>
    <w:p>
      <w:pPr>
        <w:sectPr>
          <w:pgSz w:w="11900" w:h="16838" w:orient="portrait"/>
          <w:cols w:equalWidth="0" w:num="1">
            <w:col w:w="11020"/>
          </w:cols>
          <w:pgMar w:left="440" w:top="266" w:right="439" w:bottom="1440" w:gutter="0" w:footer="0" w:header="0"/>
        </w:sectPr>
      </w:pPr>
    </w:p>
    <w:bookmarkStart w:id="5" w:name="page6"/>
    <w:bookmarkEnd w:id="5"/>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information above is preliminary and subject to Lumexa Imaging’s normal quarter and year-end accounting procedures and external audit by Lumexa Imaging’s independent registered public accounting firm. In addition, these preliminary unaudited results are not a comprehensive statement of Lumexa Imaging’s financial results for the year ended December 31, 2025, should not be viewed as a substitute for full, audited consolidated financial statements prepared in accordance with accounting principles generally accepted in the United States of America (“GAAP”), and are not necessarily indicative of Lumexa Imaging’s results for any future period.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Lumexa Imaging Earnings Conference Call and Webcast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Lumexa Imaging will host a conference call to discuss its fourth quarter and full year 2025, as well as its 2026 outlook, on March 26, 2026 at 8:30 a.m.</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ET. Participants can register for the conference call at the following link: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u w:val="single" w:color="auto"/>
          <w:color w:val="auto"/>
        </w:rPr>
        <w:t>https://register-conf.media-server.com/register/BI5d8d23fe681d4694851e49a7f37188bd.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call can also be accessed via live audio webcast online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ir.lumexaimaging.com. A replay of the webcast will be available at the same link shortly after the completion of the call and will remain available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approximately one year.</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Statement Regarding Use of Non-GAAP Financial Measures</w:t>
      </w:r>
    </w:p>
    <w:p>
      <w:pPr>
        <w:spacing w:after="0" w:line="121" w:lineRule="exact"/>
        <w:rPr>
          <w:sz w:val="20"/>
          <w:szCs w:val="20"/>
          <w:color w:val="auto"/>
        </w:rPr>
      </w:pPr>
    </w:p>
    <w:p>
      <w:pPr>
        <w:jc w:val="both"/>
        <w:ind w:left="4" w:right="280"/>
        <w:spacing w:after="0" w:line="276" w:lineRule="auto"/>
        <w:rPr>
          <w:sz w:val="20"/>
          <w:szCs w:val="20"/>
          <w:color w:val="auto"/>
        </w:rPr>
      </w:pPr>
      <w:r>
        <w:rPr>
          <w:rFonts w:ascii="Times New Roman" w:cs="Times New Roman" w:eastAsia="Times New Roman" w:hAnsi="Times New Roman"/>
          <w:sz w:val="17"/>
          <w:szCs w:val="17"/>
          <w:color w:val="auto"/>
        </w:rPr>
        <w:t>This press release uses Adjusted EBITDA and Adjusted EPS, financial measures that are not calculated in accordance with GAAP. We use Adjusted EBITDA and Adjusted EPS, in conjunction with GAAP financial measures, as an integral part of managing our business and to, among other things:</w:t>
      </w:r>
    </w:p>
    <w:p>
      <w:pPr>
        <w:spacing w:after="0" w:line="1" w:lineRule="exact"/>
        <w:rPr>
          <w:sz w:val="20"/>
          <w:szCs w:val="20"/>
          <w:color w:val="auto"/>
        </w:rPr>
      </w:pPr>
    </w:p>
    <w:p>
      <w:pPr>
        <w:ind w:left="4" w:right="100" w:hanging="4"/>
        <w:spacing w:after="0" w:line="253"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evaluate the performance of our business operations and financial performance; (ii) facilitate internal comparisons of the historical operating performance of our business operations; (iii) review and assess the operating performance of our management team; and (iv) analyze and evaluate financial and strategic planning decisions regarding future operations and annual operating budgets. For a reconciliation of Adjusted EBITDA to the most directly comparable measure calculated in accordance with GAAP, please see below.</w:t>
      </w:r>
    </w:p>
    <w:p>
      <w:pPr>
        <w:spacing w:after="0" w:line="189"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We have not reconciled our Adjusted EBITDA or Adjusted EPS guidance to their most directly comparable GAAP measures because we do not and are not able to provide guidance for those GAAP measures due to the uncertainty and potential variability of certain reconciling items, including transaction costs, severance and executive recruiting. Because such items cannot be provided without unreasonable efforts, we are unable to provide a reconciliation of our Adjusted EBITDA guidance to GAAP net loss. However, such items could have a significant impact on our future results.</w:t>
      </w:r>
    </w:p>
    <w:p>
      <w:pPr>
        <w:sectPr>
          <w:pgSz w:w="11900" w:h="16838" w:orient="portrait"/>
          <w:cols w:equalWidth="0" w:num="1">
            <w:col w:w="10984"/>
          </w:cols>
          <w:pgMar w:left="436"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Lumexa Imaging</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Lumexa Imaging is a nationwide provider of outpatient medical imaging. With over 5,000 team members and more than 188 outpatient imaging centers across 13 states, our team conducted approximately 4 million outpatient procedures system-wide in 2025. We are a partner of choice for health systems and radiologists, delivering best-in-class clinical excellence, operations, and state-of-the-art technology across our platform.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27A of the Securities Act of 1933, as amended, Section 21E of the Securities Exchange Act of 1934, as amended, and the Private Securities Litigation Reform Act of 1995. All statements other than statements of historical facts contained in this press release may be forward-looking statements. Forward-looking statements generally relate to future events or our future financial or operating performance. In some cases, you can identify forward-looking statements because they contain words such as “anticipate,” “believe,” “contemplate,” “continue,” “could,” “estimate,” “expect,” “intend,” “may,” “plan,” “potential,” “predict,” “project,” “should,” “target,” or “will,” or the negative of these words or other similar terms or expressions that concern our expectations, strategy, plans or intentions. Forward-looking statements in this release include, but are not limited to, statements regarding our expectations regarding our financial position and operating performance, including our performance for the fourth quarter and full year 2025 and guidance for full year 2026 and our assumptions underlying such guidance; our ability to drive future growth and execute on our goals and strategies; and our expectations regarding our product innovation. Our expectations and beliefs regarding these matters may not materialize, and actual results in future periods are subject to risks and uncertainties that could cause actual results to differ materially from those projected, including but not limited to those risk factors identified in the “Risk Factors” and “Management’s Discussion and Analysis of Financial Condition and Results of Operations” sections of the Form S-1 and related Prospectus pursuant to Rule 424(b)(4) of Lumexa Imaging, each as filed with the Securities and Exchange Commission (SEC). The forward-looking statements in this press release are based on information available to us as of the date hereof, and we disclaim any obligations to update any forward-looking statements, except as required by law.</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Sue Dooley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Lumexa Imaging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sue.dooley@Lumexaimaging.com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Weston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Lumexa Imaging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Melissa.Weston@LumexaImaging.com</w:t>
      </w:r>
    </w:p>
    <w:p>
      <w:pPr>
        <w:sectPr>
          <w:pgSz w:w="11900" w:h="16838" w:orient="portrait"/>
          <w:cols w:equalWidth="0" w:num="1">
            <w:col w:w="11000"/>
          </w:cols>
          <w:pgMar w:left="440" w:top="266" w:right="4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LUMEXA IMAGING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COMMON SHARES)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(Preliminary and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58,828</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26,131</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112,942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107,046</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23,308</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5,644</w:t>
            </w:r>
          </w:p>
        </w:tc>
      </w:tr>
      <w:tr>
        <w:trPr>
          <w:trHeight w:val="223"/>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20" w:type="dxa"/>
            <w:vAlign w:val="bottom"/>
          </w:tcPr>
          <w:p>
            <w:pPr>
              <w:spacing w:after="0"/>
              <w:rPr>
                <w:sz w:val="19"/>
                <w:szCs w:val="19"/>
                <w:color w:val="auto"/>
              </w:rPr>
            </w:pPr>
          </w:p>
        </w:tc>
      </w:tr>
      <w:tr>
        <w:trPr>
          <w:trHeight w:val="216"/>
        </w:trPr>
        <w:tc>
          <w:tcPr>
            <w:tcW w:w="8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227,260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172,520</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121,133</w:t>
            </w:r>
          </w:p>
        </w:tc>
        <w:tc>
          <w:tcPr>
            <w:tcW w:w="120" w:type="dxa"/>
            <w:vAlign w:val="bottom"/>
          </w:tcPr>
          <w:p>
            <w:pPr>
              <w:spacing w:after="0"/>
              <w:rPr>
                <w:sz w:val="19"/>
                <w:szCs w:val="19"/>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80,792</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423,191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415,819</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47,788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807,554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807,554</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24,958</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1,670,564</w:t>
            </w:r>
          </w:p>
        </w:tc>
        <w:tc>
          <w:tcPr>
            <w:tcW w:w="1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44,857</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29,889</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95,561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108,454</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pledging arrangement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16,001</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5,509</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13,807</w:t>
            </w:r>
          </w:p>
        </w:tc>
      </w:tr>
      <w:tr>
        <w:trPr>
          <w:trHeight w:val="223"/>
        </w:trPr>
        <w:tc>
          <w:tcPr>
            <w:tcW w:w="8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173,660</w:t>
            </w:r>
          </w:p>
        </w:tc>
        <w:tc>
          <w:tcPr>
            <w:tcW w:w="120" w:type="dxa"/>
            <w:vAlign w:val="bottom"/>
          </w:tcPr>
          <w:p>
            <w:pPr>
              <w:spacing w:after="0"/>
              <w:rPr>
                <w:sz w:val="19"/>
                <w:szCs w:val="19"/>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819,029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1,185,080</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finance lease liabilities, less current maturities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16,120</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 less current maturities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72,746</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32,696</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28,608</w:t>
            </w:r>
          </w:p>
        </w:tc>
      </w:tr>
      <w:tr>
        <w:trPr>
          <w:trHeight w:val="230"/>
        </w:trPr>
        <w:tc>
          <w:tcPr>
            <w:tcW w:w="8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1,508,910</w:t>
            </w:r>
          </w:p>
        </w:tc>
        <w:tc>
          <w:tcPr>
            <w:tcW w:w="120" w:type="dxa"/>
            <w:vAlign w:val="bottom"/>
          </w:tcPr>
          <w:p>
            <w:pPr>
              <w:spacing w:after="0"/>
              <w:rPr>
                <w:sz w:val="20"/>
                <w:szCs w:val="20"/>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 96,109,927 shares issued and outstanding at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69,523,830 shares issued and outstanding at December 31, 2024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1,217,087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745,540</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(631,060)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(583,956)</w:t>
            </w:r>
          </w:p>
        </w:tc>
      </w:tr>
      <w:tr>
        <w:trPr>
          <w:trHeight w:val="230"/>
        </w:trPr>
        <w:tc>
          <w:tcPr>
            <w:tcW w:w="8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161,654</w:t>
            </w:r>
          </w:p>
        </w:tc>
        <w:tc>
          <w:tcPr>
            <w:tcW w:w="120" w:type="dxa"/>
            <w:vAlign w:val="bottom"/>
          </w:tcPr>
          <w:p>
            <w:pPr>
              <w:spacing w:after="0"/>
              <w:rPr>
                <w:sz w:val="20"/>
                <w:szCs w:val="20"/>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1,764,557</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   1,670,564</w:t>
            </w:r>
          </w:p>
        </w:tc>
      </w:tr>
      <w:tr>
        <w:trPr>
          <w:trHeight w:val="20"/>
        </w:trPr>
        <w:tc>
          <w:tcPr>
            <w:tcW w:w="8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LUMEXA IMAGING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AND QUARTER ENDED DECEMBER 31,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(Preliminary and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patient service revenue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802,707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746,850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210,529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189,829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Management fee and other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220,374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58,199</w:t>
            </w:r>
          </w:p>
        </w:tc>
        <w:tc>
          <w:tcPr>
            <w:tcW w:w="0" w:type="dxa"/>
            <w:vAlign w:val="bottom"/>
          </w:tcPr>
          <w:p>
            <w:pPr>
              <w:spacing w:after="0"/>
              <w:rPr>
                <w:sz w:val="1"/>
                <w:szCs w:val="1"/>
                <w:color w:val="auto"/>
              </w:rPr>
            </w:pPr>
          </w:p>
        </w:tc>
      </w:tr>
      <w:tr>
        <w:trPr>
          <w:trHeight w:val="223"/>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1,023,081</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267,734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operations, excluding depreciation and amortization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865,516</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852,606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225,618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226,456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90,453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70,361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20,120</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40,379</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997,316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965,131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275,695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72,135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23,615</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97,900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AND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118,539</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28,016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31,387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imaging center sold, related party</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expenses</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134,436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(32,219)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(79,193)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(16,026)</w:t>
            </w: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provision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(94,099)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(28,690)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70,978,092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69,469,401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75,346,628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69,491,962</w:t>
            </w:r>
          </w:p>
        </w:tc>
        <w:tc>
          <w:tcPr>
            <w:tcW w:w="0" w:type="dxa"/>
            <w:vAlign w:val="bottom"/>
          </w:tcPr>
          <w:p>
            <w:pPr>
              <w:spacing w:after="0"/>
              <w:rPr>
                <w:sz w:val="1"/>
                <w:szCs w:val="1"/>
                <w:color w:val="auto"/>
              </w:rPr>
            </w:pPr>
          </w:p>
        </w:tc>
      </w:tr>
      <w:tr>
        <w:trPr>
          <w:trHeight w:val="234"/>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LUMEXA IMAGING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(Preliminary and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(47,104)</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(94,099)</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42,164</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14,961</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6,185</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cloud computing implementation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Write-off of debt issuance costs due to extinguishment of debt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(72,135)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(71,505)</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from investments in unconsolidated affiliates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79,531</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insurance recovery for disposed property and equipment</w:t>
            </w: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imaging center sold, related party</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(2,294)</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change in fair value of interest rate caps</w:t>
            </w: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9,753</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Unit-based compensation</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56,654</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2,354</w:t>
            </w: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(8,584)</w:t>
            </w: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Capitalized cloud computing implementation costs</w:t>
            </w: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(5,952)</w:t>
            </w: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2,948</w:t>
            </w: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12,078</w:t>
            </w: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7,109</w:t>
            </w: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(12,549)</w:t>
            </w:r>
          </w:p>
        </w:tc>
      </w:tr>
      <w:tr>
        <w:trPr>
          <w:trHeight w:val="230"/>
        </w:trPr>
        <w:tc>
          <w:tcPr>
            <w:tcW w:w="8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40,727</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or disposal of property and equipment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(27,773)</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3,744</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 related party</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to investments in unconsolidated affiliates</w:t>
            </w: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(22,283)</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and commissions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434,750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 incurred in connection with initial public offering</w:t>
            </w: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(1,204,056)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(11,845)</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debt, net of issuance costs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827,848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10,608</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third-party debt issuance costs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revolving line of credit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finance lease liabilities</w:t>
            </w: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(11,429)</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contributions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r>
      <w:tr>
        <w:trPr>
          <w:trHeight w:val="223"/>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accounts receivable pledging arrangement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(12,499)</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20,186</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58,828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26,131</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LUMEXA IMAGING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THREE MONTHS AND YEARS ENDED DECEMBER 31, 2025 AND 2024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(Preliminary and 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21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42,164</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9,816</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9,032</w:t>
            </w: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basis difference</w:t>
            </w:r>
          </w:p>
        </w:tc>
        <w:tc>
          <w:tcPr>
            <w:tcW w:w="3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118,539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136,027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31,387</w:t>
            </w: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41,604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56,654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14,038</w:t>
            </w: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imaging center sold, related party</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(2,294)</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income</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Severance and executive recruiting</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3,032</w:t>
            </w:r>
          </w:p>
        </w:tc>
      </w:tr>
      <w:tr>
        <w:trPr>
          <w:trHeight w:val="216"/>
        </w:trPr>
        <w:tc>
          <w:tcPr>
            <w:tcW w:w="62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Strategic initiatives and implementation</w:t>
            </w:r>
            <w:r>
              <w:rPr>
                <w:rFonts w:ascii="Times New Roman" w:cs="Times New Roman" w:eastAsia="Times New Roman" w:hAnsi="Times New Roman"/>
                <w:sz w:val="25"/>
                <w:szCs w:val="25"/>
                <w:color w:val="auto"/>
                <w:vertAlign w:val="superscript"/>
              </w:rPr>
              <w:t>(3)</w:t>
            </w:r>
          </w:p>
        </w:tc>
        <w:tc>
          <w:tcPr>
            <w:tcW w:w="3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5,362</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62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(4)</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4,185</w:t>
            </w:r>
          </w:p>
        </w:tc>
      </w:tr>
      <w:tr>
        <w:trPr>
          <w:trHeight w:val="216"/>
        </w:trPr>
        <w:tc>
          <w:tcPr>
            <w:tcW w:w="62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Litigation and settlements</w:t>
            </w:r>
            <w:r>
              <w:rPr>
                <w:rFonts w:ascii="Times New Roman" w:cs="Times New Roman" w:eastAsia="Times New Roman" w:hAnsi="Times New Roman"/>
                <w:sz w:val="25"/>
                <w:szCs w:val="25"/>
                <w:color w:val="auto"/>
                <w:vertAlign w:val="superscript"/>
              </w:rPr>
              <w:t>(5)</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62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62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Adjustments for equity in earnings of unconsolidated affiliates</w:t>
            </w:r>
            <w:r>
              <w:rPr>
                <w:rFonts w:ascii="Times New Roman" w:cs="Times New Roman" w:eastAsia="Times New Roman" w:hAnsi="Times New Roman"/>
                <w:sz w:val="25"/>
                <w:szCs w:val="25"/>
                <w:color w:val="auto"/>
                <w:vertAlign w:val="superscript"/>
              </w:rPr>
              <w:t>(7)</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4,106</w:t>
            </w:r>
          </w:p>
        </w:tc>
      </w:tr>
      <w:tr>
        <w:trPr>
          <w:trHeight w:val="27"/>
        </w:trPr>
        <w:tc>
          <w:tcPr>
            <w:tcW w:w="6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200,839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63,750</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   53,744</w:t>
            </w:r>
          </w:p>
        </w:tc>
      </w:tr>
      <w:tr>
        <w:trPr>
          <w:trHeight w:val="20"/>
        </w:trPr>
        <w:tc>
          <w:tcPr>
            <w:tcW w:w="6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1"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receipt of casualty insurance proceeds related to a flood at one of our centers.</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severance and recruiting expenses for executive leadership departures as part of strategic organizational changes.</w:t>
      </w:r>
    </w:p>
    <w:p>
      <w:pPr>
        <w:spacing w:after="0" w:line="2" w:lineRule="exact"/>
        <w:rPr>
          <w:rFonts w:ascii="Times New Roman" w:cs="Times New Roman" w:eastAsia="Times New Roman" w:hAnsi="Times New Roman"/>
          <w:sz w:val="24"/>
          <w:szCs w:val="24"/>
          <w:color w:val="auto"/>
          <w:vertAlign w:val="superscript"/>
        </w:rPr>
      </w:pPr>
    </w:p>
    <w:p>
      <w:pPr>
        <w:ind w:left="424" w:right="340" w:hanging="424"/>
        <w:spacing w:after="0" w:line="214"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third-party consulting, implementation, and integration expenses incurred as part of our strategic transformation and optimization initiatives, specifically related to the deployment of a new technology system and labor model, as well as the development, customization, and integration of a new enterprise resource planning (ERP) system.</w:t>
      </w:r>
    </w:p>
    <w:p>
      <w:pPr>
        <w:ind w:left="424" w:right="60" w:hanging="424"/>
        <w:spacing w:after="0" w:line="200"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costs for third party non-recurring IPO costs, buy-side and sell-side due diligence activities to evaluate and execute potential mergers and acquisitions, integrate acquired businesses and one-time employee retention bonuses related to potential mergers and acquisitions.</w:t>
      </w:r>
    </w:p>
    <w:p>
      <w:pPr>
        <w:ind w:left="424" w:hanging="424"/>
        <w:spacing w:after="0" w:line="180" w:lineRule="auto"/>
        <w:tabs>
          <w:tab w:leader="none" w:pos="424"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Consists of litigation and settlement costs for matters not related to core operations.</w:t>
      </w:r>
    </w:p>
    <w:p>
      <w:pPr>
        <w:spacing w:after="0" w:line="2" w:lineRule="exact"/>
        <w:rPr>
          <w:rFonts w:ascii="Times New Roman" w:cs="Times New Roman" w:eastAsia="Times New Roman" w:hAnsi="Times New Roman"/>
          <w:sz w:val="25"/>
          <w:szCs w:val="25"/>
          <w:color w:val="auto"/>
          <w:vertAlign w:val="superscript"/>
        </w:rPr>
      </w:pPr>
    </w:p>
    <w:p>
      <w:pPr>
        <w:ind w:left="424" w:right="20" w:hanging="424"/>
        <w:spacing w:after="0" w:line="199"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other costs related to debt financing, certain de novo start-up costs related to outpatient imaging centers and certain exit costs related to closed outpatient imaging centers.</w:t>
      </w:r>
    </w:p>
    <w:p>
      <w:pPr>
        <w:spacing w:after="0" w:line="1" w:lineRule="exact"/>
        <w:rPr>
          <w:rFonts w:ascii="Times New Roman" w:cs="Times New Roman" w:eastAsia="Times New Roman" w:hAnsi="Times New Roman"/>
          <w:sz w:val="27"/>
          <w:szCs w:val="27"/>
          <w:color w:val="auto"/>
          <w:vertAlign w:val="superscript"/>
        </w:rPr>
      </w:pPr>
    </w:p>
    <w:p>
      <w:pPr>
        <w:ind w:left="424" w:right="540" w:hanging="424"/>
        <w:spacing w:after="0" w:line="200"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adjust for Lumexa Imaging’s proportional share of depreciation and amortization, interest expense and loss on asset disposals, which are included in equity in earnings from unconsolidated affiliates.</w:t>
      </w:r>
    </w:p>
    <w:p>
      <w:pPr>
        <w:sectPr>
          <w:pgSz w:w="11900" w:h="16838" w:orient="portrait"/>
          <w:cols w:equalWidth="0" w:num="1">
            <w:col w:w="11024"/>
          </w:cols>
          <w:pgMar w:left="436"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LUMEXA IMAGING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DETAILS OF MANAGEMENT FEE AND OTHER REVENUES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AND QUARTER ENDED DECEMBER 31,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(Preliminary and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Components of “management fee and other revenues:”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for managing joint ventured outpatient sites and other third party services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86,610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22,113</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25,135</w:t>
            </w:r>
          </w:p>
        </w:tc>
      </w:tr>
      <w:tr>
        <w:trPr>
          <w:trHeight w:val="198"/>
        </w:trPr>
        <w:tc>
          <w:tcPr>
            <w:tcW w:w="64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Zero margin pass-throughs of employee, IT and other site level costs paid by</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Lumexa</w:t>
            </w:r>
          </w:p>
        </w:tc>
        <w:tc>
          <w:tcPr>
            <w:tcW w:w="3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133,764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127,234</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33,064</w:t>
            </w:r>
          </w:p>
        </w:tc>
      </w:tr>
      <w:tr>
        <w:trPr>
          <w:trHeight w:val="223"/>
        </w:trPr>
        <w:tc>
          <w:tcPr>
            <w:tcW w:w="6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202,019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57,205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58,199</w:t>
            </w:r>
          </w:p>
        </w:tc>
        <w:tc>
          <w:tcPr>
            <w:tcW w:w="6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2026-03-26T05:42:13Z</dcterms:created>
  <dcterms:modified xsi:type="dcterms:W3CDTF">2026-03-26T05:42:13Z</dcterms:modified>
</cp:coreProperties>
</file>