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773d8k.htm"/>
      <w:bookmarkStart w:id="1" w:name="ksd11377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Lumexa Imaging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2825"/>
        <w:gridCol w:w="60"/>
        <w:gridCol w:w="1055"/>
        <w:gridCol w:w="60"/>
        <w:gridCol w:w="137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001-43010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41-2605845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4200 Six Forks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1000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Raleigh, North Carolina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27609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(919) 763-1100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145"/>
        <w:gridCol w:w="60"/>
        <w:gridCol w:w="62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LMRI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12, 2026, Lumexa Imaging Holdings, Inc. (the “Company”) issued a press release announcing the Company’s financial results for the quarter ended June 30, 2026. A copy of the press release is furnished as Exhibit 99.1 hereto.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Item 2.02 of this report, including Exhibit 99.1, shall not be deemed to be “filed” for purposes of Section 18 of the Securities Exchange Act of 1934, as amended (the “Exchange Act”), or otherwise subject to the liabilities of that section, unless the Company specifically states that the information is to be considered “filed” under the Exchange Act or incorporates it by reference into a filing under the Securities Act of 1933 or the Exchange Act.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described under Item 2.02 above is incorporated by reference in this Item 7.01.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545"/>
        <w:gridCol w:w="120"/>
        <w:gridCol w:w="762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b/>
                <w:i/>
                <w:sz w:val="16"/>
              </w:rPr>
            </w:pPr>
            <w:r>
              <w:rPr>
                <w:rFonts w:ascii="Times New Roman" w:hAnsi="Times New Roman"/>
                <w:b/>
                <w:i/>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i/>
                <w:sz w:val="16"/>
              </w:rPr>
            </w:pPr>
            <w:r>
              <w:rPr>
                <w:rFonts w:ascii="Times New Roman" w:hAnsi="Times New Roman"/>
                <w:b/>
                <w:i/>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3773dex991.htm">
              <w:r>
                <w:rPr>
                  <w:rStyle w:val="InternetLink"/>
                </w:rPr>
                <w:t xml:space="preserve">Press Release dated August 12,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632" w:type="dxa"/>
        <w:jc w:val="left"/>
        <w:tblInd w:w="0" w:type="dxa"/>
        <w:tblLayout w:type="fixed"/>
        <w:tblCellMar>
          <w:top w:w="0" w:type="dxa"/>
          <w:left w:w="0" w:type="dxa"/>
          <w:bottom w:w="0" w:type="dxa"/>
          <w:right w:w="0" w:type="dxa"/>
        </w:tblCellMar>
      </w:tblPr>
      <w:tblGrid>
        <w:gridCol w:w="2195"/>
        <w:gridCol w:w="60"/>
        <w:gridCol w:w="23"/>
        <w:gridCol w:w="60"/>
        <w:gridCol w:w="951"/>
        <w:gridCol w:w="87"/>
        <w:gridCol w:w="3256"/>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94" w:type="dxa"/>
            <w:gridSpan w:val="3"/>
            <w:tcBorders/>
            <w:vAlign w:val="center"/>
          </w:tcPr>
          <w:p>
            <w:pPr>
              <w:pStyle w:val="TableContents"/>
              <w:bidi w:val="0"/>
              <w:spacing w:before="0" w:after="283"/>
              <w:jc w:val="left"/>
              <w:rPr>
                <w:b/>
              </w:rPr>
            </w:pPr>
            <w:r>
              <w:rPr>
                <w:b/>
              </w:rPr>
              <w:t>LUMEXA IMAGING HOLDINGS,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11" w:type="dxa"/>
            <w:gridSpan w:val="2"/>
            <w:tcBorders/>
            <w:vAlign w:val="center"/>
          </w:tcPr>
          <w:p>
            <w:pPr>
              <w:pStyle w:val="TableContents"/>
              <w:bidi w:val="0"/>
              <w:spacing w:before="0" w:after="283"/>
              <w:jc w:val="left"/>
              <w:rPr>
                <w:sz w:val="4"/>
                <w:szCs w:val="4"/>
              </w:rPr>
            </w:pPr>
            <w:r>
              <w:rPr>
                <w:sz w:val="4"/>
                <w:szCs w:val="4"/>
              </w:rPr>
            </w:r>
          </w:p>
        </w:tc>
        <w:tc>
          <w:tcPr>
            <w:tcW w:w="3343"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By:</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Anthony Martin</w:t>
            </w:r>
          </w:p>
        </w:tc>
      </w:tr>
      <w:tr>
        <w:trPr/>
        <w:tc>
          <w:tcPr>
            <w:tcW w:w="2195" w:type="dxa"/>
            <w:tcBorders/>
            <w:vAlign w:val="center"/>
          </w:tcPr>
          <w:p>
            <w:pPr>
              <w:pStyle w:val="TableContents"/>
              <w:bidi w:val="0"/>
              <w:spacing w:before="0" w:after="283"/>
              <w:jc w:val="left"/>
              <w:rPr/>
            </w:pPr>
            <w:r>
              <w:rPr/>
              <w:t>Date: August 12,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Name:</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J. Anthony Martin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Title:</w:t>
            </w:r>
          </w:p>
        </w:tc>
        <w:tc>
          <w:tcPr>
            <w:tcW w:w="87"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13773dex991.htm"/>
      <w:bookmarkStart w:id="3" w:name="ksd11377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811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723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Lumexa Imaging Announces Second Quarter 2026 Results </w:t>
      </w:r>
    </w:p>
    <w:p>
      <w:pPr>
        <w:pStyle w:val="TextBody"/>
        <w:bidi w:val="0"/>
        <w:spacing w:before="120" w:after="0"/>
        <w:jc w:val="left"/>
        <w:rPr>
          <w:rFonts w:ascii="Times New Roman" w:hAnsi="Times New Roman"/>
          <w:sz w:val="20"/>
        </w:rPr>
      </w:pPr>
      <w:r>
        <w:rPr>
          <w:rFonts w:ascii="Times New Roman" w:hAnsi="Times New Roman"/>
          <w:sz w:val="20"/>
        </w:rPr>
        <w:t>RALEIGH, N. C., August 12, 2026—Lumexa Imaging (Nasdaq: LMRI), one of the nation’s largest providers of outpatient imaging services, today reported results for the second quarter ended June 30, 2026, and updated its full year 2026 outlook.</w:t>
      </w:r>
    </w:p>
    <w:p>
      <w:pPr>
        <w:pStyle w:val="TextBody"/>
        <w:bidi w:val="0"/>
        <w:spacing w:before="240" w:after="0"/>
        <w:jc w:val="left"/>
        <w:rPr/>
      </w:pPr>
      <w:r>
        <w:rPr/>
        <w:t>“</w:t>
      </w:r>
      <w:r>
        <w:rPr>
          <w:rFonts w:ascii="Times New Roman" w:hAnsi="Times New Roman"/>
          <w:sz w:val="20"/>
        </w:rPr>
        <w:t xml:space="preserve">During the second quarter, we continued to build on our momentum, delivering strong same-center growth, expanding our mix of advanced imaging and ramping new centers,” said Caitlin Zulla, Chief Executive Officer of Lumexa Imaging. “Some highlights include announcing four new imaging centers year to date and a joint venture with Hospital for Special Surgery (HSS), a globally recognized leader in musculoskeletal health, marking our ninth health system partnership and our second new joint venture in the past twelve months.” </w:t>
      </w:r>
    </w:p>
    <w:p>
      <w:pPr>
        <w:pStyle w:val="TextBody"/>
        <w:bidi w:val="0"/>
        <w:spacing w:before="240" w:after="0"/>
        <w:jc w:val="left"/>
        <w:rPr/>
      </w:pPr>
      <w:r>
        <w:rPr/>
        <w:t>“</w:t>
      </w:r>
      <w:r>
        <w:rPr>
          <w:rFonts w:ascii="Times New Roman" w:hAnsi="Times New Roman"/>
          <w:sz w:val="20"/>
        </w:rPr>
        <w:t xml:space="preserve">With a large and growing addressable market and durable demand tailwinds, we believe Lumexa Imaging is well positioned to deliver sustained, profitable growth while expanding access to high-quality, lower-cost imaging for patients, providers, and payors.”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to the quarter ended June 30, 2025, unless otherwise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revenues of $264.2 million, an increase of 5.1% from $251.4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System-wide revenue growth of 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advanced outpatient volume growth of 6.8% and 6.3% system-wide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Same-center advanced outpatient volume growth of 5.2% consolidated and 4.9% system-wide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$2.7 million as compared to net loss of $7.2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$56.4 million as compared to $56.3 million; and a 21.4% Adjusted EBITDA margin as compared to 22.4%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EPS of $0.03 per share and Adjusted EPS of $0.20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Full Year Outlook: </w:t>
      </w:r>
    </w:p>
    <w:p>
      <w:pPr>
        <w:pStyle w:val="TextBody"/>
        <w:bidi w:val="0"/>
        <w:spacing w:before="120" w:after="0"/>
        <w:jc w:val="left"/>
        <w:rPr>
          <w:rFonts w:ascii="Times New Roman" w:hAnsi="Times New Roman"/>
          <w:sz w:val="20"/>
        </w:rPr>
      </w:pPr>
      <w:r>
        <w:rPr>
          <w:rFonts w:ascii="Times New Roman" w:hAnsi="Times New Roman"/>
          <w:sz w:val="20"/>
        </w:rPr>
        <w:t xml:space="preserve">Lumexa Imaging provided an update on its guidance for the full year ended December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Reiterating full-year 2026 consolidated revenue guidance of $1.045 billion to $1.097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Narrowing its full-year 2026 Adjusted EBITDA guidance range to $235 million to $241 million, from its prior range of $234 million to $242 million. The midpoint of $238 million is unchanged. This includes approximately $7 million of public company costs that were not incurred in 2025. (At the midpoint of guidance, the addition of these costs lowers Adjusted EBITDA growth for 2026 versus 2025 from 7% to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Reiterating guidance for Adjusted EPS of $0.71 to $0.77 per share.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Lumexa Imaging Earnings 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Lumexa Imaging will host a conference call to discuss its second quarter 2026 results, as well as its 2026 outlook, on August 12, 2026 at 5:00 p.m. ET. The call can be accessed via live audio webcast online at </w:t>
      </w:r>
      <w:r>
        <w:rPr>
          <w:rFonts w:ascii="Times New Roman" w:hAnsi="Times New Roman"/>
          <w:sz w:val="20"/>
          <w:u w:val="single"/>
        </w:rPr>
        <w:t>ir.lumexaimaging.com</w:t>
      </w:r>
      <w:r>
        <w:rPr>
          <w:rFonts w:ascii="Times New Roman" w:hAnsi="Times New Roman"/>
          <w:sz w:val="20"/>
        </w:rPr>
        <w:t xml:space="preserve">. A replay of the webcast will be available at the same link shortly after the completion of the call and will remain available for approximately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Statement Regarding 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uses Adjusted EBITDA and Adjusted EPS, financial measures that are not calculated in accordance with GAAP. We use Adjusted EBITDA and Adjusted EPS,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review and assess the operating performance of our management team; and (iv) analyze and evaluate financial and strategic planning decisions regarding future operations and annual operating budgets. For a reconciliation of Adjusted EBITDA and Adjusted EPS to the most directly comparable measure calculated in accordance with GAAP, please see below. </w:t>
      </w:r>
    </w:p>
    <w:p>
      <w:pPr>
        <w:pStyle w:val="TextBody"/>
        <w:bidi w:val="0"/>
        <w:spacing w:before="240" w:after="0"/>
        <w:jc w:val="left"/>
        <w:rPr>
          <w:rFonts w:ascii="Times New Roman" w:hAnsi="Times New Roman"/>
          <w:sz w:val="20"/>
        </w:rPr>
      </w:pPr>
      <w:r>
        <w:rPr>
          <w:rFonts w:ascii="Times New Roman" w:hAnsi="Times New Roman"/>
          <w:sz w:val="20"/>
        </w:rPr>
        <w:t xml:space="preserve">We have not reconciled our Adjusted EBITDA or Adjusted EPS guidance to their most directly comparable GAAP measures because we do not and are not able to provide guidance for those GAAP measures due to the uncertainty and potential variability of certain reconciling items, including transaction costs, severance and executive recruiting. Because such items cannot be provided without unreasonable efforts, we are unable to provide the corresponding reconciliations. However, such reconciling items could have a significant impact on our future results. </w:t>
      </w:r>
    </w:p>
    <w:p>
      <w:pPr>
        <w:pStyle w:val="TextBody"/>
        <w:bidi w:val="0"/>
        <w:spacing w:before="360" w:after="0"/>
        <w:jc w:val="left"/>
        <w:rPr>
          <w:rFonts w:ascii="Times New Roman" w:hAnsi="Times New Roman"/>
          <w:b/>
          <w:sz w:val="20"/>
        </w:rPr>
      </w:pPr>
      <w:r>
        <w:rPr>
          <w:rFonts w:ascii="Times New Roman" w:hAnsi="Times New Roman"/>
          <w:b/>
          <w:sz w:val="20"/>
        </w:rPr>
        <w:t xml:space="preserve">About Lumexa Imaging </w:t>
      </w:r>
    </w:p>
    <w:p>
      <w:pPr>
        <w:pStyle w:val="TextBody"/>
        <w:bidi w:val="0"/>
        <w:spacing w:before="120" w:after="0"/>
        <w:jc w:val="left"/>
        <w:rPr>
          <w:rFonts w:ascii="Times New Roman" w:hAnsi="Times New Roman"/>
          <w:sz w:val="20"/>
        </w:rPr>
      </w:pPr>
      <w:r>
        <w:rPr>
          <w:rFonts w:ascii="Times New Roman" w:hAnsi="Times New Roman"/>
          <w:sz w:val="20"/>
        </w:rPr>
        <w:t xml:space="preserve">Lumexa Imaging is a nationwide provider of outpatient medical imaging. With over 5,000 team members and greater than 190 outpatient imaging centers, our team conducted approximately 4 million outpatient procedures system-wide in 2025. We are a partner of choice for health systems and radiologists, delivering best-in-class clinical excellence, operations, and state-of-the-art technology across our platform.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within the meaning of Section 27A of the Securities Act of 1933, as amended, Section 21E of the Securities Exchange Act of 1934, as amended, and the Private Securities Litigation Reform Act of 1995. All statements other than statements of historical facts contained in this press release may be forward-looking statements. Forward-looking statements generally relate to future events or our future financial or operating performance. In some cases, you can identify forward-looking statements because they contain words such as “anticipate,” “believe,” “contemplate,” “continue,” “could,” “estimate,” “expect,” “intend,” “may,” “plan,” “potential,” “predict,” “project,” “should,” “target,” or “will,” or the negative of these words or other similar terms or expressions that concern our expectations, strategy, plans or intentions. Forward-looking statements in this release include, but are not limited to, statements regarding our expectations regarding our financial position and operating performance,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including our guidance for full year 2026 and our assumptions underlying such guidance; our ability to drive future growth and execute on our goals and strategies; and our expectations regarding our product innovation. Our expectations and beliefs regarding these matters may not materialize, and actual results in future periods are subject to risks and uncertainties that could cause actual results to differ materially from those projected, including but not limited to those risk factors identified in the “Risk Factors” and “Management’s Discussion and Analysis of Financial Condition and Results of Operations” sections of our Annual Report on Form 10-K for the year ended December 31, 2025 and our later dated Quarterly Reports on Form 10-Q, each as filed with the Securities and Exchange Commission. The forward-looking statements in this press release are based on information available to us as of the date hereof, and we disclaim any obligations to update any forward-looking statements, except as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Sue Dooley </w:t>
      </w:r>
    </w:p>
    <w:p>
      <w:pPr>
        <w:pStyle w:val="TextBody"/>
        <w:bidi w:val="0"/>
        <w:spacing w:before="0" w:after="0"/>
        <w:jc w:val="left"/>
        <w:rPr>
          <w:rFonts w:ascii="Times New Roman" w:hAnsi="Times New Roman"/>
          <w:sz w:val="20"/>
        </w:rPr>
      </w:pPr>
      <w:r>
        <w:rPr>
          <w:rFonts w:ascii="Times New Roman" w:hAnsi="Times New Roman"/>
          <w:sz w:val="20"/>
        </w:rPr>
        <w:t xml:space="preserve">Lumexa Imaging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Sue.Dooley@LumexaImaging.com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Melissa Weston </w:t>
      </w:r>
    </w:p>
    <w:p>
      <w:pPr>
        <w:pStyle w:val="TextBody"/>
        <w:bidi w:val="0"/>
        <w:spacing w:before="0" w:after="0"/>
        <w:jc w:val="left"/>
        <w:rPr>
          <w:rFonts w:ascii="Times New Roman" w:hAnsi="Times New Roman"/>
          <w:sz w:val="20"/>
        </w:rPr>
      </w:pPr>
      <w:r>
        <w:rPr>
          <w:rFonts w:ascii="Times New Roman" w:hAnsi="Times New Roman"/>
          <w:sz w:val="20"/>
        </w:rPr>
        <w:t xml:space="preserve">Lumexa Imaging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Melissa.Weston@LumexaImaging.com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Lumexa Imaging Q2 2026 Outpatient Volumes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9"/>
        <w:gridCol w:w="157"/>
        <w:gridCol w:w="60"/>
        <w:gridCol w:w="1009"/>
        <w:gridCol w:w="275"/>
        <w:gridCol w:w="112"/>
        <w:gridCol w:w="60"/>
        <w:gridCol w:w="806"/>
        <w:gridCol w:w="275"/>
        <w:gridCol w:w="112"/>
        <w:gridCol w:w="68"/>
        <w:gridCol w:w="812"/>
        <w:gridCol w:w="280"/>
      </w:tblGrid>
      <w:tr>
        <w:trPr/>
        <w:tc>
          <w:tcPr>
            <w:tcW w:w="6179"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179" w:type="dxa"/>
            <w:tcBorders/>
            <w:vAlign w:val="bottom"/>
          </w:tcPr>
          <w:p>
            <w:pPr>
              <w:pStyle w:val="TableContents"/>
              <w:bidi w:val="0"/>
              <w:spacing w:before="0" w:after="283"/>
              <w:jc w:val="left"/>
              <w:rPr>
                <w:b/>
                <w:sz w:val="20"/>
              </w:rPr>
            </w:pPr>
            <w:r>
              <w:rPr>
                <w:b/>
                <w:sz w:val="20"/>
              </w:rPr>
              <w:t>Consolidated</w:t>
            </w:r>
          </w:p>
        </w:tc>
        <w:tc>
          <w:tcPr>
            <w:tcW w:w="157"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2Q26</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2Q25</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Increase</w:t>
              <w:br/>
              <w:t>YoY</w:t>
            </w:r>
          </w:p>
        </w:tc>
        <w:tc>
          <w:tcPr>
            <w:tcW w:w="280" w:type="dxa"/>
            <w:tcBorders/>
            <w:vAlign w:val="bottom"/>
          </w:tcPr>
          <w:p>
            <w:pPr>
              <w:pStyle w:val="TableContents"/>
              <w:bidi w:val="0"/>
              <w:spacing w:before="0" w:after="283"/>
              <w:jc w:val="left"/>
              <w:rPr/>
            </w:pPr>
            <w:r>
              <w:rPr/>
              <w:t> </w:t>
            </w:r>
          </w:p>
        </w:tc>
      </w:tr>
      <w:tr>
        <w:trPr/>
        <w:tc>
          <w:tcPr>
            <w:tcW w:w="6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total procedures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617,722</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602,366</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2.5</w:t>
            </w:r>
          </w:p>
        </w:tc>
        <w:tc>
          <w:tcPr>
            <w:tcW w:w="280" w:type="dxa"/>
            <w:tcBorders/>
            <w:shd w:fill="CCEEFF" w:val="clear"/>
            <w:vAlign w:val="bottom"/>
          </w:tcPr>
          <w:p>
            <w:pPr>
              <w:pStyle w:val="TableContents"/>
              <w:bidi w:val="0"/>
              <w:spacing w:before="0" w:after="283"/>
              <w:jc w:val="left"/>
              <w:rPr/>
            </w:pPr>
            <w:r>
              <w:rPr/>
              <w:t>% </w:t>
            </w:r>
          </w:p>
        </w:tc>
      </w:tr>
      <w:tr>
        <w:trPr/>
        <w:tc>
          <w:tcPr>
            <w:tcW w:w="617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advanced procedures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193,125</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180,911</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6.8</w:t>
            </w:r>
          </w:p>
        </w:tc>
        <w:tc>
          <w:tcPr>
            <w:tcW w:w="280" w:type="dxa"/>
            <w:tcBorders/>
            <w:vAlign w:val="bottom"/>
          </w:tcPr>
          <w:p>
            <w:pPr>
              <w:pStyle w:val="TableContents"/>
              <w:bidi w:val="0"/>
              <w:spacing w:before="0" w:after="283"/>
              <w:jc w:val="left"/>
              <w:rPr/>
            </w:pPr>
            <w:r>
              <w:rPr/>
              <w:t>% </w:t>
            </w:r>
          </w:p>
        </w:tc>
      </w:tr>
      <w:tr>
        <w:trPr/>
        <w:tc>
          <w:tcPr>
            <w:tcW w:w="6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advanced procedures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31.3</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30.0</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123bps</w:t>
            </w:r>
          </w:p>
        </w:tc>
        <w:tc>
          <w:tcPr>
            <w:tcW w:w="280" w:type="dxa"/>
            <w:tcBorders/>
            <w:shd w:fill="CCEEFF" w:val="clear"/>
            <w:vAlign w:val="bottom"/>
          </w:tcPr>
          <w:p>
            <w:pPr>
              <w:pStyle w:val="TableContents"/>
              <w:bidi w:val="0"/>
              <w:spacing w:before="0" w:after="283"/>
              <w:jc w:val="left"/>
              <w:rPr/>
            </w:pPr>
            <w:r>
              <w:rPr/>
              <w:t> </w:t>
            </w:r>
          </w:p>
        </w:tc>
      </w:tr>
      <w:tr>
        <w:trPr/>
        <w:tc>
          <w:tcPr>
            <w:tcW w:w="617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same-center advanced volume growth</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5.2</w:t>
            </w:r>
          </w:p>
        </w:tc>
        <w:tc>
          <w:tcPr>
            <w:tcW w:w="280" w:type="dxa"/>
            <w:tcBorders/>
            <w:vAlign w:val="bottom"/>
          </w:tcPr>
          <w:p>
            <w:pPr>
              <w:pStyle w:val="TableContents"/>
              <w:bidi w:val="0"/>
              <w:spacing w:before="0" w:after="283"/>
              <w:jc w:val="left"/>
              <w:rPr/>
            </w:pPr>
            <w:r>
              <w:rPr/>
              <w:t>% </w:t>
            </w:r>
          </w:p>
        </w:tc>
      </w:tr>
      <w:tr>
        <w:trPr/>
        <w:tc>
          <w:tcPr>
            <w:tcW w:w="61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System-wide</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812"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6179" w:type="dxa"/>
            <w:tcBorders/>
          </w:tcPr>
          <w:p>
            <w:pPr>
              <w:pStyle w:val="TableContents"/>
              <w:bidi w:val="0"/>
              <w:spacing w:before="0" w:after="0"/>
              <w:jc w:val="left"/>
              <w:rPr>
                <w:rFonts w:ascii="Times New Roman" w:hAnsi="Times New Roman"/>
                <w:sz w:val="20"/>
              </w:rPr>
            </w:pPr>
            <w:r>
              <w:rPr>
                <w:rFonts w:ascii="Times New Roman" w:hAnsi="Times New Roman"/>
                <w:sz w:val="20"/>
              </w:rPr>
              <w:t>System-wide total procedures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1,022,874</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992,118</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3.1</w:t>
            </w:r>
          </w:p>
        </w:tc>
        <w:tc>
          <w:tcPr>
            <w:tcW w:w="280" w:type="dxa"/>
            <w:tcBorders/>
            <w:vAlign w:val="bottom"/>
          </w:tcPr>
          <w:p>
            <w:pPr>
              <w:pStyle w:val="TableContents"/>
              <w:bidi w:val="0"/>
              <w:spacing w:before="0" w:after="283"/>
              <w:jc w:val="left"/>
              <w:rPr/>
            </w:pPr>
            <w:r>
              <w:rPr/>
              <w:t>% </w:t>
            </w:r>
          </w:p>
        </w:tc>
      </w:tr>
      <w:tr>
        <w:trPr/>
        <w:tc>
          <w:tcPr>
            <w:tcW w:w="6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System-wide advanced procedures</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382,506</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359,948</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6.3</w:t>
            </w:r>
          </w:p>
        </w:tc>
        <w:tc>
          <w:tcPr>
            <w:tcW w:w="280" w:type="dxa"/>
            <w:tcBorders/>
            <w:shd w:fill="CCEEFF" w:val="clear"/>
            <w:vAlign w:val="bottom"/>
          </w:tcPr>
          <w:p>
            <w:pPr>
              <w:pStyle w:val="TableContents"/>
              <w:bidi w:val="0"/>
              <w:spacing w:before="0" w:after="283"/>
              <w:jc w:val="left"/>
              <w:rPr/>
            </w:pPr>
            <w:r>
              <w:rPr/>
              <w:t>% </w:t>
            </w:r>
          </w:p>
        </w:tc>
      </w:tr>
      <w:tr>
        <w:trPr/>
        <w:tc>
          <w:tcPr>
            <w:tcW w:w="6179" w:type="dxa"/>
            <w:tcBorders/>
          </w:tcPr>
          <w:p>
            <w:pPr>
              <w:pStyle w:val="TableContents"/>
              <w:bidi w:val="0"/>
              <w:spacing w:before="0" w:after="0"/>
              <w:jc w:val="left"/>
              <w:rPr>
                <w:rFonts w:ascii="Times New Roman" w:hAnsi="Times New Roman"/>
                <w:sz w:val="20"/>
              </w:rPr>
            </w:pPr>
            <w:r>
              <w:rPr>
                <w:rFonts w:ascii="Times New Roman" w:hAnsi="Times New Roman"/>
                <w:sz w:val="20"/>
              </w:rPr>
              <w:t>% advanced procedures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37.4</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36.3</w:t>
            </w:r>
          </w:p>
        </w:tc>
        <w:tc>
          <w:tcPr>
            <w:tcW w:w="27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111bps</w:t>
            </w:r>
          </w:p>
        </w:tc>
        <w:tc>
          <w:tcPr>
            <w:tcW w:w="280" w:type="dxa"/>
            <w:tcBorders/>
            <w:vAlign w:val="bottom"/>
          </w:tcPr>
          <w:p>
            <w:pPr>
              <w:pStyle w:val="TableContents"/>
              <w:bidi w:val="0"/>
              <w:spacing w:before="0" w:after="283"/>
              <w:jc w:val="left"/>
              <w:rPr/>
            </w:pPr>
            <w:r>
              <w:rPr/>
              <w:t> </w:t>
            </w:r>
          </w:p>
        </w:tc>
      </w:tr>
      <w:tr>
        <w:trPr/>
        <w:tc>
          <w:tcPr>
            <w:tcW w:w="6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System-wide same-center advanced volume growth</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4.9</w:t>
            </w:r>
          </w:p>
        </w:tc>
        <w:tc>
          <w:tcPr>
            <w:tcW w:w="280" w:type="dxa"/>
            <w:tcBorders/>
            <w:shd w:fill="CCEEFF" w:val="cle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86"/>
        <w:gridCol w:w="9719"/>
      </w:tblGrid>
      <w:tr>
        <w:trPr/>
        <w:tc>
          <w:tcPr>
            <w:tcW w:w="486" w:type="dxa"/>
            <w:tcBorders/>
          </w:tcPr>
          <w:p>
            <w:pPr>
              <w:pStyle w:val="TableContents"/>
              <w:bidi w:val="0"/>
              <w:spacing w:before="0" w:after="283"/>
              <w:jc w:val="left"/>
              <w:rPr>
                <w:i/>
              </w:rPr>
            </w:pPr>
            <w:r>
              <w:rPr>
                <w:i/>
              </w:rPr>
              <w:t>Note:</w:t>
            </w:r>
          </w:p>
        </w:tc>
        <w:tc>
          <w:tcPr>
            <w:tcW w:w="971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Advanced Procedures includes MRI and CT modalities. Center count at June 30, 2026 was 192 total, 88 JV and 104 consolidated.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COMMON SHARES)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93"/>
        <w:gridCol w:w="141"/>
        <w:gridCol w:w="140"/>
        <w:gridCol w:w="1504"/>
        <w:gridCol w:w="155"/>
        <w:gridCol w:w="104"/>
        <w:gridCol w:w="172"/>
        <w:gridCol w:w="1838"/>
        <w:gridCol w:w="158"/>
      </w:tblGrid>
      <w:tr>
        <w:trPr/>
        <w:tc>
          <w:tcPr>
            <w:tcW w:w="599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9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5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83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04" w:type="dxa"/>
            <w:tcBorders/>
            <w:vAlign w:val="bottom"/>
          </w:tcPr>
          <w:p>
            <w:pPr>
              <w:pStyle w:val="TableContents"/>
              <w:bidi w:val="0"/>
              <w:spacing w:before="0" w:after="283"/>
              <w:jc w:val="right"/>
              <w:rPr/>
            </w:pPr>
            <w:r>
              <w:rPr/>
              <w:t>69,705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58,828</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120,637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112,942</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related party</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20,024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18,893</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31,552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19,015</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14,498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17,582</w:t>
            </w:r>
          </w:p>
        </w:tc>
        <w:tc>
          <w:tcPr>
            <w:tcW w:w="158" w:type="dxa"/>
            <w:tcBorders/>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256,416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227,260</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156,062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144,709</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77,033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76,555</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in unconsolidated affiliates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423,331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423,191</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 of accumulated amortization</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39,722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41,335</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807,554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807,554</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48,654</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43,953</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04" w:type="dxa"/>
            <w:tcBorders/>
            <w:vAlign w:val="bottom"/>
          </w:tcPr>
          <w:p>
            <w:pPr>
              <w:pStyle w:val="TableContents"/>
              <w:bidi w:val="0"/>
              <w:spacing w:before="0" w:after="283"/>
              <w:jc w:val="right"/>
              <w:rPr/>
            </w:pPr>
            <w:r>
              <w:rPr/>
              <w:t>1,808,772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1,764,557</w:t>
            </w:r>
          </w:p>
        </w:tc>
        <w:tc>
          <w:tcPr>
            <w:tcW w:w="158" w:type="dxa"/>
            <w:tcBorders/>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83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5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83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04" w:type="dxa"/>
            <w:tcBorders/>
            <w:vAlign w:val="bottom"/>
          </w:tcPr>
          <w:p>
            <w:pPr>
              <w:pStyle w:val="TableContents"/>
              <w:bidi w:val="0"/>
              <w:spacing w:before="0" w:after="283"/>
              <w:jc w:val="right"/>
              <w:rPr/>
            </w:pPr>
            <w:r>
              <w:rPr/>
              <w:t>27,062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838" w:type="dxa"/>
            <w:tcBorders/>
            <w:vAlign w:val="bottom"/>
          </w:tcPr>
          <w:p>
            <w:pPr>
              <w:pStyle w:val="TableContents"/>
              <w:bidi w:val="0"/>
              <w:spacing w:before="0" w:after="283"/>
              <w:jc w:val="right"/>
              <w:rPr/>
            </w:pPr>
            <w:r>
              <w:rPr/>
              <w:t>44,857</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109,167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95,561</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pledging arrangement</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1,267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1,599</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14,330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13,112</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liabilities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14,597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11,552</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11,932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12,513</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178,355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179,194</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819,753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819,029</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Long-term finance lease liabilities, less current maturities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41,177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33,262</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 less current maturities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72,296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71,437</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43,592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40,772</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38,538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34,740</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1,193,711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1,178,434</w:t>
            </w:r>
          </w:p>
        </w:tc>
        <w:tc>
          <w:tcPr>
            <w:tcW w:w="158" w:type="dxa"/>
            <w:tcBorders/>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5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83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993"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5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83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$0.001 par value, 1,000,000,000 shares authorized, 96,074,976 shares issued and outstanding at June 30, 2026 and 96,109,927 shares issued and outstanding at December 31, 2025</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96</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paid-in-capital</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1,241,563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1,217,087</w:t>
            </w:r>
          </w:p>
        </w:tc>
        <w:tc>
          <w:tcPr>
            <w:tcW w:w="158" w:type="dxa"/>
            <w:tcBorders/>
            <w:vAlign w:val="bottom"/>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bidi w:val="0"/>
              <w:spacing w:before="0" w:after="283"/>
              <w:jc w:val="right"/>
              <w:rPr/>
            </w:pPr>
            <w:r>
              <w:rPr/>
              <w:t>(626,598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838" w:type="dxa"/>
            <w:tcBorders/>
            <w:shd w:fill="CCEEFF" w:val="clear"/>
            <w:vAlign w:val="bottom"/>
          </w:tcPr>
          <w:p>
            <w:pPr>
              <w:pStyle w:val="TableContents"/>
              <w:bidi w:val="0"/>
              <w:spacing w:before="0" w:after="283"/>
              <w:jc w:val="right"/>
              <w:rPr/>
            </w:pPr>
            <w:r>
              <w:rPr/>
              <w:t>(631,060</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04" w:type="dxa"/>
            <w:tcBorders/>
            <w:vAlign w:val="bottom"/>
          </w:tcPr>
          <w:p>
            <w:pPr>
              <w:pStyle w:val="TableContents"/>
              <w:bidi w:val="0"/>
              <w:spacing w:before="0" w:after="283"/>
              <w:jc w:val="right"/>
              <w:rPr/>
            </w:pPr>
            <w:r>
              <w:rPr/>
              <w:t>615,061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right"/>
              <w:rPr/>
            </w:pPr>
            <w:r>
              <w:rPr/>
              <w:t>586,123</w:t>
            </w:r>
          </w:p>
        </w:tc>
        <w:tc>
          <w:tcPr>
            <w:tcW w:w="158" w:type="dxa"/>
            <w:tcBorders/>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83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4" w:type="dxa"/>
            <w:tcBorders/>
            <w:shd w:fill="CCEEFF" w:val="clear"/>
            <w:vAlign w:val="bottom"/>
          </w:tcPr>
          <w:p>
            <w:pPr>
              <w:pStyle w:val="TableContents"/>
              <w:bidi w:val="0"/>
              <w:spacing w:before="0" w:after="283"/>
              <w:jc w:val="right"/>
              <w:rPr/>
            </w:pPr>
            <w:r>
              <w:rPr/>
              <w:t>  </w:t>
            </w:r>
            <w:r>
              <w:rPr/>
              <w:t>1,808,772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838" w:type="dxa"/>
            <w:tcBorders/>
            <w:shd w:fill="CCEEFF" w:val="clear"/>
            <w:vAlign w:val="bottom"/>
          </w:tcPr>
          <w:p>
            <w:pPr>
              <w:pStyle w:val="TableContents"/>
              <w:bidi w:val="0"/>
              <w:spacing w:before="0" w:after="283"/>
              <w:jc w:val="right"/>
              <w:rPr/>
            </w:pPr>
            <w:r>
              <w:rPr/>
              <w:t>  </w:t>
            </w:r>
            <w:r>
              <w:rPr/>
              <w:t>1,764,557</w:t>
            </w:r>
          </w:p>
        </w:tc>
        <w:tc>
          <w:tcPr>
            <w:tcW w:w="158" w:type="dxa"/>
            <w:tcBorders/>
            <w:shd w:fill="CCEEFF" w:val="clear"/>
            <w:vAlign w:val="bottom"/>
          </w:tcPr>
          <w:p>
            <w:pPr>
              <w:pStyle w:val="TableContents"/>
              <w:bidi w:val="0"/>
              <w:spacing w:before="0" w:after="283"/>
              <w:jc w:val="left"/>
              <w:rPr/>
            </w:pPr>
            <w:r>
              <w:rPr/>
              <w:t> </w:t>
            </w:r>
          </w:p>
        </w:tc>
      </w:tr>
      <w:tr>
        <w:trPr/>
        <w:tc>
          <w:tcPr>
            <w:tcW w:w="599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83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72"/>
        <w:gridCol w:w="225"/>
        <w:gridCol w:w="140"/>
        <w:gridCol w:w="1116"/>
        <w:gridCol w:w="155"/>
        <w:gridCol w:w="183"/>
        <w:gridCol w:w="140"/>
        <w:gridCol w:w="1116"/>
        <w:gridCol w:w="158"/>
      </w:tblGrid>
      <w:tr>
        <w:trPr/>
        <w:tc>
          <w:tcPr>
            <w:tcW w:w="6972"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7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8"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Net patient service revenue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203,735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198,185</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 and other revenue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60,427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53,217</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264,162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251,402</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Cost of operations, excluding depreciation and amortization</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225,285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212,265</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24,397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18,689</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10,083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9,279</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16</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259,741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240,249</w:t>
            </w:r>
          </w:p>
        </w:tc>
        <w:tc>
          <w:tcPr>
            <w:tcW w:w="158"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affiliates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18,619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16,527</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23,040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27,680</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16,222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30,097</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1,053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17,275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30,097</w:t>
            </w:r>
          </w:p>
        </w:tc>
        <w:tc>
          <w:tcPr>
            <w:tcW w:w="158"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5,765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(2,417</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3,020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4,809</w:t>
            </w:r>
          </w:p>
        </w:tc>
        <w:tc>
          <w:tcPr>
            <w:tcW w:w="158" w:type="dxa"/>
            <w:tcBorders/>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2,745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(7,226</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95,983,246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69,526,574</w:t>
            </w:r>
          </w:p>
        </w:tc>
        <w:tc>
          <w:tcPr>
            <w:tcW w:w="158" w:type="dxa"/>
            <w:tcBorders/>
            <w:shd w:fill="CCEEFF" w:val="clear"/>
            <w:vAlign w:val="bottom"/>
          </w:tcPr>
          <w:p>
            <w:pPr>
              <w:pStyle w:val="TableContents"/>
              <w:bidi w:val="0"/>
              <w:spacing w:before="0" w:after="283"/>
              <w:jc w:val="left"/>
              <w:rPr/>
            </w:pPr>
            <w:r>
              <w:rPr/>
              <w:t> </w:t>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96,039,426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69,526,574</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7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(0.10</w:t>
            </w:r>
          </w:p>
        </w:tc>
        <w:tc>
          <w:tcPr>
            <w:tcW w:w="158" w:type="dxa"/>
            <w:tcBorders/>
            <w:vAlign w:val="bottom"/>
          </w:tcPr>
          <w:p>
            <w:pPr>
              <w:pStyle w:val="TableContents"/>
              <w:bidi w:val="0"/>
              <w:spacing w:before="0" w:after="283"/>
              <w:jc w:val="left"/>
              <w:rPr/>
            </w:pPr>
            <w:r>
              <w:rPr/>
              <w:t>) </w:t>
            </w:r>
          </w:p>
        </w:tc>
      </w:tr>
      <w:tr>
        <w:trPr/>
        <w:tc>
          <w:tcPr>
            <w:tcW w:w="6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(0.10</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5"/>
        <w:gridCol w:w="298"/>
        <w:gridCol w:w="140"/>
        <w:gridCol w:w="1113"/>
        <w:gridCol w:w="60"/>
        <w:gridCol w:w="298"/>
        <w:gridCol w:w="140"/>
        <w:gridCol w:w="1113"/>
        <w:gridCol w:w="158"/>
      </w:tblGrid>
      <w:tr>
        <w:trPr/>
        <w:tc>
          <w:tcPr>
            <w:tcW w:w="688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Net patient service revenue</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401,053</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390,483</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 and other revenue</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115,646</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105,920</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516,699</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496,403</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Cost of operations, excluding depreciation and amortization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443,040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420,662</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44,732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36,181</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20,005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18,330</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(146</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507,890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475,027</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affiliates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33,643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31,845</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42,452</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53,221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32,553</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59,946</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1,053</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expenses</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33,606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59,946</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8,846</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(6,725</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4,384</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8,188</w:t>
            </w:r>
          </w:p>
        </w:tc>
        <w:tc>
          <w:tcPr>
            <w:tcW w:w="158" w:type="dxa"/>
            <w:tcBorders/>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AND COMPREHENSIVE INCOME (LOSS)</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4,462</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(14,913</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95,983,240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69,524,980</w:t>
            </w:r>
          </w:p>
        </w:tc>
        <w:tc>
          <w:tcPr>
            <w:tcW w:w="158" w:type="dxa"/>
            <w:tcBorders/>
            <w:shd w:fill="CCEEFF" w:val="clear"/>
            <w:vAlign w:val="bottom"/>
          </w:tcPr>
          <w:p>
            <w:pPr>
              <w:pStyle w:val="TableContents"/>
              <w:bidi w:val="0"/>
              <w:spacing w:before="0" w:after="283"/>
              <w:jc w:val="left"/>
              <w:rPr/>
            </w:pPr>
            <w:r>
              <w:rPr/>
              <w:t> </w:t>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96,011,335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69,524,980</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common share</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85"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0.05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(0.21</w:t>
            </w:r>
          </w:p>
        </w:tc>
        <w:tc>
          <w:tcPr>
            <w:tcW w:w="158" w:type="dxa"/>
            <w:tcBorders/>
            <w:vAlign w:val="bottom"/>
          </w:tcPr>
          <w:p>
            <w:pPr>
              <w:pStyle w:val="TableContents"/>
              <w:bidi w:val="0"/>
              <w:spacing w:before="0" w:after="283"/>
              <w:jc w:val="left"/>
              <w:rPr/>
            </w:pPr>
            <w:r>
              <w:rPr/>
              <w:t>) </w:t>
            </w:r>
          </w:p>
        </w:tc>
      </w:tr>
      <w:tr>
        <w:trPr/>
        <w:tc>
          <w:tcPr>
            <w:tcW w:w="68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(0.21</w:t>
            </w:r>
          </w:p>
        </w:tc>
        <w:tc>
          <w:tcPr>
            <w:tcW w:w="158"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9"/>
        <w:gridCol w:w="146"/>
        <w:gridCol w:w="143"/>
        <w:gridCol w:w="1231"/>
        <w:gridCol w:w="159"/>
        <w:gridCol w:w="112"/>
        <w:gridCol w:w="143"/>
        <w:gridCol w:w="1084"/>
        <w:gridCol w:w="158"/>
      </w:tblGrid>
      <w:tr>
        <w:trPr/>
        <w:tc>
          <w:tcPr>
            <w:tcW w:w="702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8" w:type="dxa"/>
            <w:tcBorders/>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4,462</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(14,913</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20,005</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18,330</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7,956</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7,424</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1,437</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2,871</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cloud computing implementation costs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760</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184</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debt issuance costs related to extinguishment of debt</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46</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in earnings of unconsolidated affiliates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(33,643</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(31,845</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from investments in unconsolidated affiliates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36,869</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32,820</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113</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(146</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2,820</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1,477</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25,011</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14,720</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(535</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(7,695</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(6,870</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related party</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(1,131</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(2,035</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cloud computing implementation costs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(1,647</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(1,421</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(12,537</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(5,410</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3,034</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(7,028</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(4,723</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(11,311</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(18,596</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1,214</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18,085</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(11,002</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3,798</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7,018</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(8,156</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(5,966</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35,733</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(11,889</w:t>
            </w:r>
          </w:p>
        </w:tc>
        <w:tc>
          <w:tcPr>
            <w:tcW w:w="158" w:type="dxa"/>
            <w:tcBorders/>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or disposal of property and equipment</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40</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713</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intangible asset</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(600</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(14,985</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(5,602</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to investments in unconsolidated affiliates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(3,366</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(18,911</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(4,889</w:t>
            </w:r>
          </w:p>
        </w:tc>
        <w:tc>
          <w:tcPr>
            <w:tcW w:w="158" w:type="dxa"/>
            <w:tcBorders/>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third-party debt issuance costs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(154</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long-term debt</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9,536</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496</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long-term debt</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(8,393</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(7,821</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revolving line of credit</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5,000</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finance lease liabilities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(6,602</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(2,998</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contributions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715</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on accounts receivable pledging arrangement</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(332</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(5,945</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(4,608</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10,877</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(21,386</w:t>
            </w:r>
          </w:p>
        </w:tc>
        <w:tc>
          <w:tcPr>
            <w:tcW w:w="158" w:type="dxa"/>
            <w:tcBorders/>
            <w:vAlign w:val="bottom"/>
          </w:tcPr>
          <w:p>
            <w:pPr>
              <w:pStyle w:val="TableContents"/>
              <w:bidi w:val="0"/>
              <w:spacing w:before="0" w:after="283"/>
              <w:jc w:val="left"/>
              <w:rPr/>
            </w:pPr>
            <w:r>
              <w:rPr/>
              <w:t>) </w:t>
            </w:r>
          </w:p>
        </w:tc>
      </w:tr>
      <w:tr>
        <w:trPr/>
        <w:tc>
          <w:tcPr>
            <w:tcW w:w="7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58,828</w:t>
            </w:r>
          </w:p>
        </w:tc>
        <w:tc>
          <w:tcPr>
            <w:tcW w:w="159"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26,131</w:t>
            </w:r>
          </w:p>
        </w:tc>
        <w:tc>
          <w:tcPr>
            <w:tcW w:w="158" w:type="dxa"/>
            <w:tcBorders/>
            <w:shd w:fill="CCEEFF" w:val="clear"/>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  </w:t>
            </w:r>
            <w:r>
              <w:rPr/>
              <w:t>69,705</w:t>
            </w:r>
          </w:p>
        </w:tc>
        <w:tc>
          <w:tcPr>
            <w:tcW w:w="159"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  </w:t>
            </w:r>
            <w:r>
              <w:rPr/>
              <w:t>4,745</w:t>
            </w:r>
          </w:p>
        </w:tc>
        <w:tc>
          <w:tcPr>
            <w:tcW w:w="158" w:type="dxa"/>
            <w:tcBorders/>
            <w:vAlign w:val="bottom"/>
          </w:tcPr>
          <w:p>
            <w:pPr>
              <w:pStyle w:val="TableContents"/>
              <w:bidi w:val="0"/>
              <w:spacing w:before="0" w:after="283"/>
              <w:jc w:val="left"/>
              <w:rPr/>
            </w:pPr>
            <w:r>
              <w:rPr/>
              <w:t> </w:t>
            </w:r>
          </w:p>
        </w:tc>
      </w:tr>
      <w:tr>
        <w:trPr/>
        <w:tc>
          <w:tcPr>
            <w:tcW w:w="702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NET INCOME (LOSS) TO ADJUSTED EBITDA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87"/>
        <w:gridCol w:w="145"/>
        <w:gridCol w:w="152"/>
        <w:gridCol w:w="1265"/>
        <w:gridCol w:w="168"/>
        <w:gridCol w:w="112"/>
        <w:gridCol w:w="152"/>
        <w:gridCol w:w="1266"/>
        <w:gridCol w:w="158"/>
      </w:tblGrid>
      <w:tr>
        <w:trPr/>
        <w:tc>
          <w:tcPr>
            <w:tcW w:w="6787"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8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8"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2,745</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(7,226</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10,083</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9,279</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3,020</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4,809</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basis difference</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573</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500</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16,222</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30,097</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12,737</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8,346</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1,053</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(24</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686</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803</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2,659</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1,018</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707</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3,875</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1,173</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87</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142</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4,724</w:t>
            </w:r>
          </w:p>
        </w:tc>
        <w:tc>
          <w:tcPr>
            <w:tcW w:w="16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4,615</w:t>
            </w:r>
          </w:p>
        </w:tc>
        <w:tc>
          <w:tcPr>
            <w:tcW w:w="158" w:type="dxa"/>
            <w:tcBorders/>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  </w:t>
            </w:r>
            <w:r>
              <w:rPr/>
              <w:t>56,445</w:t>
            </w:r>
          </w:p>
        </w:tc>
        <w:tc>
          <w:tcPr>
            <w:tcW w:w="16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66" w:type="dxa"/>
            <w:tcBorders/>
            <w:shd w:fill="CCEEFF" w:val="clear"/>
            <w:vAlign w:val="bottom"/>
          </w:tcPr>
          <w:p>
            <w:pPr>
              <w:pStyle w:val="TableContents"/>
              <w:bidi w:val="0"/>
              <w:spacing w:before="0" w:after="283"/>
              <w:jc w:val="right"/>
              <w:rPr/>
            </w:pPr>
            <w:r>
              <w:rPr/>
              <w:t>  </w:t>
            </w:r>
            <w:r>
              <w:rPr/>
              <w:t>56,274</w:t>
            </w:r>
          </w:p>
        </w:tc>
        <w:tc>
          <w:tcPr>
            <w:tcW w:w="158" w:type="dxa"/>
            <w:tcBorders/>
            <w:shd w:fill="CCEEFF" w:val="clear"/>
            <w:vAlign w:val="bottom"/>
          </w:tcPr>
          <w:p>
            <w:pPr>
              <w:pStyle w:val="TableContents"/>
              <w:bidi w:val="0"/>
              <w:spacing w:before="0" w:after="283"/>
              <w:jc w:val="left"/>
              <w:rPr/>
            </w:pPr>
            <w:r>
              <w:rPr/>
              <w:t> </w:t>
            </w:r>
          </w:p>
        </w:tc>
      </w:tr>
      <w:tr>
        <w:trPr/>
        <w:tc>
          <w:tcPr>
            <w:tcW w:w="6787"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for third party non-recurring IPO costs, buy-side and sell-side due diligence activities to evaluate and execute potential mergers and acquisitions, integrate acquired businesses and one-time employee retention bonuses related to potential mergers and acquisitions.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litigation and settlement costs for matters not related to core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other costs related to debt financing, certain de novo start-up costs related to outpatient imaging centers and certain exit costs related to closed outpatient imaging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adjust for Lumexa Imaging’s proportional share of depreciation and amortization, interest expense and losses/gains on asset disposals, which are included in equity in earnings from unconsolidated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GAAP NET INCOME (LOSS) TO ADJUSTED EBITDA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1"/>
        <w:gridCol w:w="139"/>
        <w:gridCol w:w="140"/>
        <w:gridCol w:w="1282"/>
        <w:gridCol w:w="60"/>
        <w:gridCol w:w="139"/>
        <w:gridCol w:w="140"/>
        <w:gridCol w:w="1282"/>
        <w:gridCol w:w="162"/>
      </w:tblGrid>
      <w:tr>
        <w:trPr/>
        <w:tc>
          <w:tcPr>
            <w:tcW w:w="686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0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686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4,462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(14,913</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20,005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18,330</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4,384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8,188</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basis difference</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1,105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1,000</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32,553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59,946</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25,011</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14,720</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1,053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(146</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1,631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2,173</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3,484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1,886</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3,289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7,464</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1,202</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(128</w:t>
            </w:r>
          </w:p>
        </w:tc>
        <w:tc>
          <w:tcPr>
            <w:tcW w:w="162" w:type="dxa"/>
            <w:tcBorders/>
            <w:vAlign w:val="bottom"/>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158</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9,270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8,596</w:t>
            </w:r>
          </w:p>
        </w:tc>
        <w:tc>
          <w:tcPr>
            <w:tcW w:w="162" w:type="dxa"/>
            <w:tcBorders/>
            <w:vAlign w:val="bottom"/>
          </w:tcPr>
          <w:p>
            <w:pPr>
              <w:pStyle w:val="TableContents"/>
              <w:bidi w:val="0"/>
              <w:spacing w:before="0" w:after="283"/>
              <w:jc w:val="left"/>
              <w:rPr/>
            </w:pPr>
            <w:r>
              <w:rPr/>
              <w:t> </w:t>
            </w:r>
          </w:p>
        </w:tc>
      </w:tr>
      <w:tr>
        <w:trPr/>
        <w:tc>
          <w:tcPr>
            <w:tcW w:w="6861"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8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  </w:t>
            </w:r>
            <w:r>
              <w:rPr/>
              <w:t>107,644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  </w:t>
            </w:r>
            <w:r>
              <w:rPr/>
              <w:t>107,274</w:t>
            </w:r>
          </w:p>
        </w:tc>
        <w:tc>
          <w:tcPr>
            <w:tcW w:w="162" w:type="dxa"/>
            <w:tcBorders/>
            <w:shd w:fill="CCEEFF" w:val="clear"/>
            <w:vAlign w:val="bottom"/>
          </w:tcPr>
          <w:p>
            <w:pPr>
              <w:pStyle w:val="TableContents"/>
              <w:bidi w:val="0"/>
              <w:spacing w:before="0" w:after="283"/>
              <w:jc w:val="left"/>
              <w:rPr/>
            </w:pPr>
            <w:r>
              <w:rPr/>
              <w:t> </w:t>
            </w:r>
          </w:p>
        </w:tc>
      </w:tr>
      <w:tr>
        <w:trPr/>
        <w:tc>
          <w:tcPr>
            <w:tcW w:w="6861"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for third party non-recurring IPO costs, buy-side and sell-side due diligence activities to evaluate and execute potential mergers and acquisitions, integrate acquired businesses and one-time employee retention bonuses related to potential mergers and acquisitions.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litigation and settlement costs for matters not related to core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other costs related to debt financing, certain de novo start-up costs related to outpatient imaging centers and certain exit costs related to closed outpatient imaging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adjust for Lumexa Imaging’s proportional share of depreciation and amortization, interest expense and losses/gains on asset disposals, which are included in equity in earnings from unconsolidated affiliates.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ADJUSTED EARNINGS AND EARNINGS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8"/>
        <w:gridCol w:w="356"/>
        <w:gridCol w:w="159"/>
        <w:gridCol w:w="1252"/>
        <w:gridCol w:w="176"/>
        <w:gridCol w:w="315"/>
        <w:gridCol w:w="159"/>
        <w:gridCol w:w="1252"/>
        <w:gridCol w:w="158"/>
      </w:tblGrid>
      <w:tr>
        <w:trPr/>
        <w:tc>
          <w:tcPr>
            <w:tcW w:w="6378"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78"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33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8" w:type="dxa"/>
            <w:tcBorders/>
            <w:vAlign w:val="bottom"/>
          </w:tcPr>
          <w:p>
            <w:pPr>
              <w:pStyle w:val="TableContents"/>
              <w:bidi w:val="0"/>
              <w:spacing w:before="0" w:after="283"/>
              <w:jc w:val="left"/>
              <w:rPr/>
            </w:pPr>
            <w:r>
              <w:rPr/>
              <w:t> </w:t>
            </w:r>
          </w:p>
        </w:tc>
      </w:tr>
      <w:tr>
        <w:trPr/>
        <w:tc>
          <w:tcPr>
            <w:tcW w:w="6378"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Net income (loss)</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2,745</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(7,226</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12,737</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8,346</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(24</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16</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1,053</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686</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803</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2,659</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1,018</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707</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3,875</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1,173</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87</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142</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199</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81</w:t>
            </w:r>
          </w:p>
        </w:tc>
        <w:tc>
          <w:tcPr>
            <w:tcW w:w="158" w:type="dxa"/>
            <w:tcBorders/>
            <w:vAlign w:val="bottom"/>
          </w:tcPr>
          <w:p>
            <w:pPr>
              <w:pStyle w:val="TableContents"/>
              <w:bidi w:val="0"/>
              <w:spacing w:before="0" w:after="283"/>
              <w:jc w:val="left"/>
              <w:rPr/>
            </w:pPr>
            <w:r>
              <w:rPr/>
              <w:t> </w:t>
            </w:r>
          </w:p>
        </w:tc>
      </w:tr>
      <w:tr>
        <w:trPr/>
        <w:tc>
          <w:tcPr>
            <w:tcW w:w="637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adjustments</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19,277</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14,281</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Tax impact of adjustments(7)</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(2,493</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(1,484</w:t>
            </w:r>
          </w:p>
        </w:tc>
        <w:tc>
          <w:tcPr>
            <w:tcW w:w="158" w:type="dxa"/>
            <w:tcBorders/>
            <w:vAlign w:val="bottom"/>
          </w:tcPr>
          <w:p>
            <w:pPr>
              <w:pStyle w:val="TableContents"/>
              <w:bidi w:val="0"/>
              <w:spacing w:before="0" w:after="283"/>
              <w:jc w:val="left"/>
              <w:rPr/>
            </w:pPr>
            <w:r>
              <w:rPr/>
              <w:t>) </w:t>
            </w:r>
          </w:p>
        </w:tc>
      </w:tr>
      <w:tr>
        <w:trPr/>
        <w:tc>
          <w:tcPr>
            <w:tcW w:w="637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19,529</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5,571</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95,983,246</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69,526,574</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96,039,426</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69,526,574</w:t>
            </w:r>
          </w:p>
        </w:tc>
        <w:tc>
          <w:tcPr>
            <w:tcW w:w="158" w:type="dxa"/>
            <w:tcBorders/>
            <w:vAlign w:val="bottom"/>
          </w:tcPr>
          <w:p>
            <w:pPr>
              <w:pStyle w:val="TableContents"/>
              <w:bidi w:val="0"/>
              <w:spacing w:before="0" w:after="283"/>
              <w:jc w:val="left"/>
              <w:rPr/>
            </w:pPr>
            <w:r>
              <w:rPr/>
              <w:t> </w:t>
            </w:r>
          </w:p>
        </w:tc>
      </w:tr>
      <w:tr>
        <w:trPr/>
        <w:tc>
          <w:tcPr>
            <w:tcW w:w="63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basic net income per share</w:t>
            </w:r>
          </w:p>
        </w:tc>
        <w:tc>
          <w:tcPr>
            <w:tcW w:w="35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0.20</w:t>
            </w:r>
          </w:p>
        </w:tc>
        <w:tc>
          <w:tcPr>
            <w:tcW w:w="17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0.08</w:t>
            </w:r>
          </w:p>
        </w:tc>
        <w:tc>
          <w:tcPr>
            <w:tcW w:w="158" w:type="dxa"/>
            <w:tcBorders/>
            <w:shd w:fill="CCEEFF" w:val="clear"/>
            <w:vAlign w:val="bottom"/>
          </w:tcPr>
          <w:p>
            <w:pPr>
              <w:pStyle w:val="TableContents"/>
              <w:bidi w:val="0"/>
              <w:spacing w:before="0" w:after="283"/>
              <w:jc w:val="left"/>
              <w:rPr/>
            </w:pPr>
            <w:r>
              <w:rPr/>
              <w:t> </w:t>
            </w:r>
          </w:p>
        </w:tc>
      </w:tr>
      <w:tr>
        <w:trPr/>
        <w:tc>
          <w:tcPr>
            <w:tcW w:w="6378"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net income per share</w:t>
            </w:r>
          </w:p>
        </w:tc>
        <w:tc>
          <w:tcPr>
            <w:tcW w:w="35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0.20</w:t>
            </w:r>
          </w:p>
        </w:tc>
        <w:tc>
          <w:tcPr>
            <w:tcW w:w="176"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0.08</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for third party non-recurring IPO costs, buy-side and sell-side due diligence activities to evaluate and execute potential mergers and acquisitions, integrate acquired businesses and one-time employee retention bonuses related to potential mergers and acquisitions.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litigation and settlement costs for matters not related to core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other costs related to debt financing, certain de novo start-up costs related to outpatient imaging centers and certain exit costs related to closed outpatient imaging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adjust for Lumexa Imaging’s proportional share of losses/gains on asset disposals, which are included in equity in earnings from unconsolidated affiliates.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effected adjustments using blended federal and state effective income tax rate.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ADJUSTED EARNINGS AND EARNINGS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26"/>
        <w:gridCol w:w="370"/>
        <w:gridCol w:w="143"/>
        <w:gridCol w:w="1139"/>
        <w:gridCol w:w="159"/>
        <w:gridCol w:w="325"/>
        <w:gridCol w:w="143"/>
        <w:gridCol w:w="1141"/>
        <w:gridCol w:w="159"/>
      </w:tblGrid>
      <w:tr>
        <w:trPr/>
        <w:tc>
          <w:tcPr>
            <w:tcW w:w="6626"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6"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30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6626"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4,462</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(14,913</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25,011</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14,720</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disposal of property and equipment</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113</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(146</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and modification of debt</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1,053</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 and executive recruiting(1)</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1,631</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2,173</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initiatives and implementation(2)</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3,484</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1,886</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3,289</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7,464</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settlements(4)</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1,202</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(128</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82</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158</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for equity in earnings of unconsolidated affiliates(6)</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595</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54</w:t>
            </w:r>
          </w:p>
        </w:tc>
        <w:tc>
          <w:tcPr>
            <w:tcW w:w="159" w:type="dxa"/>
            <w:tcBorders/>
            <w:vAlign w:val="bottom"/>
          </w:tcPr>
          <w:p>
            <w:pPr>
              <w:pStyle w:val="TableContents"/>
              <w:bidi w:val="0"/>
              <w:spacing w:before="0" w:after="283"/>
              <w:jc w:val="left"/>
              <w:rPr/>
            </w:pPr>
            <w:r>
              <w:rPr/>
              <w:t> </w:t>
            </w:r>
          </w:p>
        </w:tc>
      </w:tr>
      <w:tr>
        <w:trPr/>
        <w:tc>
          <w:tcPr>
            <w:tcW w:w="6626"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adjustments</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36,460</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26,181</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Tax impact of adjustments(7)</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(4,461</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(2,865</w:t>
            </w:r>
          </w:p>
        </w:tc>
        <w:tc>
          <w:tcPr>
            <w:tcW w:w="159" w:type="dxa"/>
            <w:tcBorders/>
            <w:vAlign w:val="bottom"/>
          </w:tcPr>
          <w:p>
            <w:pPr>
              <w:pStyle w:val="TableContents"/>
              <w:bidi w:val="0"/>
              <w:spacing w:before="0" w:after="283"/>
              <w:jc w:val="left"/>
              <w:rPr/>
            </w:pPr>
            <w:r>
              <w:rPr/>
              <w:t>) </w:t>
            </w:r>
          </w:p>
        </w:tc>
      </w:tr>
      <w:tr>
        <w:trPr/>
        <w:tc>
          <w:tcPr>
            <w:tcW w:w="6626"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36,461</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8,403</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13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14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95,983,240</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69,524,980</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96,011,335</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69,524,980</w:t>
            </w:r>
          </w:p>
        </w:tc>
        <w:tc>
          <w:tcPr>
            <w:tcW w:w="159" w:type="dxa"/>
            <w:tcBorders/>
            <w:vAlign w:val="bottom"/>
          </w:tcPr>
          <w:p>
            <w:pPr>
              <w:pStyle w:val="TableContents"/>
              <w:bidi w:val="0"/>
              <w:spacing w:before="0" w:after="283"/>
              <w:jc w:val="left"/>
              <w:rPr/>
            </w:pPr>
            <w:r>
              <w:rPr/>
              <w:t> </w:t>
            </w:r>
          </w:p>
        </w:tc>
      </w:tr>
      <w:tr>
        <w:trPr/>
        <w:tc>
          <w:tcPr>
            <w:tcW w:w="6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basic net income per share</w:t>
            </w:r>
          </w:p>
        </w:tc>
        <w:tc>
          <w:tcPr>
            <w:tcW w:w="37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39" w:type="dxa"/>
            <w:tcBorders/>
            <w:shd w:fill="CCEEFF" w:val="clear"/>
            <w:vAlign w:val="bottom"/>
          </w:tcPr>
          <w:p>
            <w:pPr>
              <w:pStyle w:val="TableContents"/>
              <w:bidi w:val="0"/>
              <w:spacing w:before="0" w:after="283"/>
              <w:jc w:val="right"/>
              <w:rPr/>
            </w:pPr>
            <w:r>
              <w:rPr/>
              <w:t>0.38</w:t>
            </w:r>
          </w:p>
        </w:tc>
        <w:tc>
          <w:tcPr>
            <w:tcW w:w="1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0.12</w:t>
            </w:r>
          </w:p>
        </w:tc>
        <w:tc>
          <w:tcPr>
            <w:tcW w:w="159" w:type="dxa"/>
            <w:tcBorders/>
            <w:shd w:fill="CCEEFF" w:val="clear"/>
            <w:vAlign w:val="bottom"/>
          </w:tcPr>
          <w:p>
            <w:pPr>
              <w:pStyle w:val="TableContents"/>
              <w:bidi w:val="0"/>
              <w:spacing w:before="0" w:after="283"/>
              <w:jc w:val="left"/>
              <w:rPr/>
            </w:pPr>
            <w:r>
              <w:rPr/>
              <w:t> </w:t>
            </w:r>
          </w:p>
        </w:tc>
      </w:tr>
      <w:tr>
        <w:trPr/>
        <w:tc>
          <w:tcPr>
            <w:tcW w:w="6626"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net income per share</w:t>
            </w:r>
          </w:p>
        </w:tc>
        <w:tc>
          <w:tcPr>
            <w:tcW w:w="37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139" w:type="dxa"/>
            <w:tcBorders/>
            <w:vAlign w:val="bottom"/>
          </w:tcPr>
          <w:p>
            <w:pPr>
              <w:pStyle w:val="TableContents"/>
              <w:bidi w:val="0"/>
              <w:spacing w:before="0" w:after="283"/>
              <w:jc w:val="right"/>
              <w:rPr/>
            </w:pPr>
            <w:r>
              <w:rPr/>
              <w:t>0.38</w:t>
            </w:r>
          </w:p>
        </w:tc>
        <w:tc>
          <w:tcPr>
            <w:tcW w:w="1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0.12</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severance and recruiting expenses for executive leadership departures as part of strategic organizational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third-party consulting, implementation, and integration expenses incurred as part of our strategic transformation and optimization initiatives, specifically related to the deployment of a new technology system and labor model, as well as the development, customization, and integration of a new enterprise resource planning system.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costs for third party non-recurring IPO costs, buy-side and sell-side due diligence activities to evaluate and execute potential mergers and acquisitions, integrate acquired businesses and one-time employee retention bonuses related to potential mergers and acquisitions.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litigation and settlement costs for matters not related to core operations.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other costs related to debt financing, certain de novo start-up costs related to outpatient imaging centers and certain exit costs related to closed outpatient imaging centers.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adjust for Lumexa Imaging’s proportional share of losses/gains on asset disposals, which are included in equity in earnings from unconsolidated affiliates.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effected adjustments using blended federal and state effective income tax rate.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DETAILS OF MANAGEMENT FEE AND OTHER REVENUES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6"/>
        <w:gridCol w:w="142"/>
        <w:gridCol w:w="142"/>
        <w:gridCol w:w="1323"/>
        <w:gridCol w:w="60"/>
        <w:gridCol w:w="143"/>
        <w:gridCol w:w="142"/>
        <w:gridCol w:w="1324"/>
        <w:gridCol w:w="63"/>
      </w:tblGrid>
      <w:tr>
        <w:trPr/>
        <w:tc>
          <w:tcPr>
            <w:tcW w:w="686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3" w:type="dxa"/>
            <w:tcBorders/>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“management fee and other revenues:”</w:t>
            </w:r>
          </w:p>
        </w:tc>
        <w:tc>
          <w:tcPr>
            <w:tcW w:w="14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866" w:type="dxa"/>
            <w:tcBorders/>
          </w:tcPr>
          <w:p>
            <w:pPr>
              <w:pStyle w:val="TableContents"/>
              <w:bidi w:val="0"/>
              <w:spacing w:before="0" w:after="0"/>
              <w:jc w:val="left"/>
              <w:rPr>
                <w:rFonts w:ascii="Times New Roman" w:hAnsi="Times New Roman"/>
                <w:sz w:val="20"/>
              </w:rPr>
            </w:pPr>
            <w:r>
              <w:rPr>
                <w:rFonts w:ascii="Times New Roman" w:hAnsi="Times New Roman"/>
                <w:sz w:val="20"/>
              </w:rPr>
              <w:t>Fees for managing joint ventured outpatient sites and other third party services</w:t>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26,103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20,578</w:t>
            </w:r>
          </w:p>
        </w:tc>
        <w:tc>
          <w:tcPr>
            <w:tcW w:w="63" w:type="dxa"/>
            <w:tcBorders/>
            <w:vAlign w:val="bottom"/>
          </w:tcPr>
          <w:p>
            <w:pPr>
              <w:pStyle w:val="TableContents"/>
              <w:bidi w:val="0"/>
              <w:spacing w:before="0" w:after="283"/>
              <w:jc w:val="left"/>
              <w:rPr/>
            </w:pPr>
            <w:r>
              <w:rPr/>
              <w:t> </w:t>
            </w:r>
          </w:p>
        </w:tc>
      </w:tr>
      <w:tr>
        <w:trPr/>
        <w:tc>
          <w:tcPr>
            <w:tcW w:w="6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Zero margin pass-throughs of employee, IT and other site level costs paid by Lumexa</w:t>
            </w:r>
          </w:p>
        </w:tc>
        <w:tc>
          <w:tcPr>
            <w:tcW w:w="14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34,324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32,639</w:t>
            </w:r>
          </w:p>
        </w:tc>
        <w:tc>
          <w:tcPr>
            <w:tcW w:w="63" w:type="dxa"/>
            <w:tcBorders/>
            <w:shd w:fill="CCEEFF" w:val="clear"/>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6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60,427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53,217</w:t>
            </w:r>
          </w:p>
        </w:tc>
        <w:tc>
          <w:tcPr>
            <w:tcW w:w="63" w:type="dxa"/>
            <w:tcBorders/>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240" w:hRule="atLeast"/>
        </w:trPr>
        <w:tc>
          <w:tcPr>
            <w:tcW w:w="6866" w:type="dxa"/>
            <w:tcBorders/>
            <w:vAlign w:val="center"/>
          </w:tcPr>
          <w:p>
            <w:pPr>
              <w:pStyle w:val="TableContents"/>
              <w:bidi w:val="0"/>
              <w:spacing w:before="0" w:after="283"/>
              <w:jc w:val="left"/>
              <w:rPr>
                <w:sz w:val="4"/>
                <w:szCs w:val="4"/>
              </w:rPr>
            </w:pPr>
            <w:r>
              <w:rPr>
                <w:sz w:val="4"/>
                <w:szCs w:val="4"/>
              </w:rPr>
            </w:r>
          </w:p>
        </w:tc>
        <w:tc>
          <w:tcPr>
            <w:tcW w:w="3339" w:type="dxa"/>
            <w:gridSpan w:val="8"/>
            <w:tcBorders/>
            <w:vAlign w:val="center"/>
          </w:tcPr>
          <w:p>
            <w:pPr>
              <w:pStyle w:val="TableContents"/>
              <w:bidi w:val="0"/>
              <w:spacing w:before="0" w:after="283"/>
              <w:jc w:val="left"/>
              <w:rPr>
                <w:sz w:val="4"/>
                <w:szCs w:val="4"/>
              </w:rPr>
            </w:pPr>
            <w:r>
              <w:rPr>
                <w:sz w:val="4"/>
                <w:szCs w:val="4"/>
              </w:rPr>
            </w:r>
          </w:p>
        </w:tc>
      </w:tr>
      <w:tr>
        <w:trPr/>
        <w:tc>
          <w:tcPr>
            <w:tcW w:w="68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63" w:type="dxa"/>
            <w:tcBorders/>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“management fee and other revenues:”</w:t>
            </w:r>
          </w:p>
        </w:tc>
        <w:tc>
          <w:tcPr>
            <w:tcW w:w="14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866" w:type="dxa"/>
            <w:tcBorders/>
          </w:tcPr>
          <w:p>
            <w:pPr>
              <w:pStyle w:val="TableContents"/>
              <w:bidi w:val="0"/>
              <w:spacing w:before="0" w:after="0"/>
              <w:jc w:val="left"/>
              <w:rPr>
                <w:rFonts w:ascii="Times New Roman" w:hAnsi="Times New Roman"/>
                <w:sz w:val="20"/>
              </w:rPr>
            </w:pPr>
            <w:r>
              <w:rPr>
                <w:rFonts w:ascii="Times New Roman" w:hAnsi="Times New Roman"/>
                <w:sz w:val="20"/>
              </w:rPr>
              <w:t>Fees for managing joint ventured outpatient sites and other third party services</w:t>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47,601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40,654</w:t>
            </w:r>
          </w:p>
        </w:tc>
        <w:tc>
          <w:tcPr>
            <w:tcW w:w="63" w:type="dxa"/>
            <w:tcBorders/>
            <w:vAlign w:val="bottom"/>
          </w:tcPr>
          <w:p>
            <w:pPr>
              <w:pStyle w:val="TableContents"/>
              <w:bidi w:val="0"/>
              <w:spacing w:before="0" w:after="283"/>
              <w:jc w:val="left"/>
              <w:rPr/>
            </w:pPr>
            <w:r>
              <w:rPr/>
              <w:t> </w:t>
            </w:r>
          </w:p>
        </w:tc>
      </w:tr>
      <w:tr>
        <w:trPr/>
        <w:tc>
          <w:tcPr>
            <w:tcW w:w="6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Zero margin pass-throughs of employee, IT and other site level costs paid by Lumexa</w:t>
            </w:r>
          </w:p>
        </w:tc>
        <w:tc>
          <w:tcPr>
            <w:tcW w:w="14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68,045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65,266</w:t>
            </w:r>
          </w:p>
        </w:tc>
        <w:tc>
          <w:tcPr>
            <w:tcW w:w="63" w:type="dxa"/>
            <w:tcBorders/>
            <w:shd w:fill="CCEEFF" w:val="clear"/>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66"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  </w:t>
            </w:r>
            <w:r>
              <w:rPr/>
              <w:t>115,646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  </w:t>
            </w:r>
            <w:r>
              <w:rPr/>
              <w:t>105,920</w:t>
            </w:r>
          </w:p>
        </w:tc>
        <w:tc>
          <w:tcPr>
            <w:tcW w:w="63" w:type="dxa"/>
            <w:tcBorders/>
            <w:vAlign w:val="bottom"/>
          </w:tcPr>
          <w:p>
            <w:pPr>
              <w:pStyle w:val="TableContents"/>
              <w:bidi w:val="0"/>
              <w:spacing w:before="0" w:after="283"/>
              <w:jc w:val="left"/>
              <w:rPr/>
            </w:pPr>
            <w:r>
              <w:rPr/>
              <w:t> </w:t>
            </w:r>
          </w:p>
        </w:tc>
      </w:tr>
      <w:tr>
        <w:trPr/>
        <w:tc>
          <w:tcPr>
            <w:tcW w:w="686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LUMEXA IMAGING HOLDINGS,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SEGMENT REVENUES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9"/>
        <w:gridCol w:w="201"/>
        <w:gridCol w:w="244"/>
        <w:gridCol w:w="1405"/>
        <w:gridCol w:w="60"/>
        <w:gridCol w:w="201"/>
        <w:gridCol w:w="326"/>
        <w:gridCol w:w="1586"/>
        <w:gridCol w:w="60"/>
        <w:gridCol w:w="201"/>
        <w:gridCol w:w="364"/>
        <w:gridCol w:w="1651"/>
        <w:gridCol w:w="155"/>
        <w:gridCol w:w="143"/>
        <w:gridCol w:w="255"/>
        <w:gridCol w:w="1466"/>
        <w:gridCol w:w="68"/>
      </w:tblGrid>
      <w:tr>
        <w:trPr/>
        <w:tc>
          <w:tcPr>
            <w:tcW w:w="181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81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11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68" w:type="dxa"/>
            <w:tcBorders/>
            <w:vAlign w:val="bottom"/>
          </w:tcPr>
          <w:p>
            <w:pPr>
              <w:pStyle w:val="TableContents"/>
              <w:bidi w:val="0"/>
              <w:spacing w:before="0" w:after="283"/>
              <w:jc w:val="left"/>
              <w:rPr/>
            </w:pPr>
            <w:r>
              <w:rPr/>
              <w:t> </w:t>
            </w:r>
          </w:p>
        </w:tc>
      </w:tr>
      <w:tr>
        <w:trPr/>
        <w:tc>
          <w:tcPr>
            <w:tcW w:w="181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OUTPATIENT</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PROFESSIONAL</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OF</w:t>
              <w:br/>
              <w:t>REPORTABLE</w:t>
              <w:br/>
              <w:t>SEGMENTS</w:t>
            </w:r>
          </w:p>
        </w:tc>
        <w:tc>
          <w:tcPr>
            <w:tcW w:w="68" w:type="dxa"/>
            <w:tcBorders/>
            <w:vAlign w:val="bottom"/>
          </w:tcPr>
          <w:p>
            <w:pPr>
              <w:pStyle w:val="TableContents"/>
              <w:bidi w:val="0"/>
              <w:spacing w:before="0" w:after="283"/>
              <w:jc w:val="left"/>
              <w:rPr/>
            </w:pPr>
            <w:r>
              <w:rPr/>
              <w:t> </w:t>
            </w:r>
          </w:p>
        </w:tc>
      </w:tr>
      <w:tr>
        <w:trPr/>
        <w:tc>
          <w:tcPr>
            <w:tcW w:w="1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5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sz w:val="4"/>
                <w:szCs w:val="4"/>
              </w:rPr>
            </w:pPr>
            <w:r>
              <w:rPr>
                <w:sz w:val="4"/>
                <w:szCs w:val="4"/>
              </w:rPr>
            </w:r>
          </w:p>
        </w:tc>
        <w:tc>
          <w:tcPr>
            <w:tcW w:w="16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sz w:val="4"/>
                <w:szCs w:val="4"/>
              </w:rPr>
            </w:pPr>
            <w:r>
              <w:rPr>
                <w:sz w:val="4"/>
                <w:szCs w:val="4"/>
              </w:rPr>
            </w:r>
          </w:p>
        </w:tc>
        <w:tc>
          <w:tcPr>
            <w:tcW w:w="146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819" w:type="dxa"/>
            <w:tcBorders/>
          </w:tcPr>
          <w:p>
            <w:pPr>
              <w:pStyle w:val="TableContents"/>
              <w:bidi w:val="0"/>
              <w:spacing w:before="0" w:after="0"/>
              <w:jc w:val="left"/>
              <w:rPr>
                <w:rFonts w:ascii="Times New Roman" w:hAnsi="Times New Roman"/>
                <w:sz w:val="20"/>
              </w:rPr>
            </w:pPr>
            <w:r>
              <w:rPr>
                <w:rFonts w:ascii="Times New Roman" w:hAnsi="Times New Roman"/>
                <w:sz w:val="20"/>
              </w:rPr>
              <w:t>Net patient service revenue</w:t>
            </w:r>
          </w:p>
        </w:tc>
        <w:tc>
          <w:tcPr>
            <w:tcW w:w="2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143,747</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586" w:type="dxa"/>
            <w:tcBorders/>
            <w:vAlign w:val="bottom"/>
          </w:tcPr>
          <w:p>
            <w:pPr>
              <w:pStyle w:val="TableContents"/>
              <w:bidi w:val="0"/>
              <w:spacing w:before="0" w:after="283"/>
              <w:jc w:val="right"/>
              <w:rPr/>
            </w:pPr>
            <w:r>
              <w:rPr/>
              <w:t>64,280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651" w:type="dxa"/>
            <w:tcBorders/>
            <w:vAlign w:val="bottom"/>
          </w:tcPr>
          <w:p>
            <w:pPr>
              <w:pStyle w:val="TableContents"/>
              <w:bidi w:val="0"/>
              <w:spacing w:before="0" w:after="283"/>
              <w:jc w:val="right"/>
              <w:rPr/>
            </w:pPr>
            <w:r>
              <w:rPr/>
              <w:t>(4,292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466" w:type="dxa"/>
            <w:tcBorders/>
            <w:vAlign w:val="bottom"/>
          </w:tcPr>
          <w:p>
            <w:pPr>
              <w:pStyle w:val="TableContents"/>
              <w:bidi w:val="0"/>
              <w:spacing w:before="0" w:after="283"/>
              <w:jc w:val="right"/>
              <w:rPr/>
            </w:pPr>
            <w:r>
              <w:rPr/>
              <w:t>203,735</w:t>
            </w:r>
          </w:p>
        </w:tc>
        <w:tc>
          <w:tcPr>
            <w:tcW w:w="68" w:type="dxa"/>
            <w:tcBorders/>
            <w:vAlign w:val="bottom"/>
          </w:tcPr>
          <w:p>
            <w:pPr>
              <w:pStyle w:val="TableContents"/>
              <w:bidi w:val="0"/>
              <w:spacing w:before="0" w:after="283"/>
              <w:jc w:val="left"/>
              <w:rPr/>
            </w:pPr>
            <w:r>
              <w:rPr/>
              <w:t> </w:t>
            </w:r>
          </w:p>
        </w:tc>
      </w:tr>
      <w:tr>
        <w:trPr/>
        <w:tc>
          <w:tcPr>
            <w:tcW w:w="1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 and other revenue</w:t>
            </w:r>
          </w:p>
        </w:tc>
        <w:tc>
          <w:tcPr>
            <w:tcW w:w="201"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52,462</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right"/>
              <w:rPr/>
            </w:pPr>
            <w:r>
              <w:rPr/>
              <w:t>7,965</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60,427</w:t>
            </w:r>
          </w:p>
        </w:tc>
        <w:tc>
          <w:tcPr>
            <w:tcW w:w="68" w:type="dxa"/>
            <w:tcBorders/>
            <w:shd w:fill="CCEEFF" w:val="clear"/>
            <w:vAlign w:val="bottom"/>
          </w:tcPr>
          <w:p>
            <w:pPr>
              <w:pStyle w:val="TableContents"/>
              <w:bidi w:val="0"/>
              <w:spacing w:before="0" w:after="283"/>
              <w:jc w:val="left"/>
              <w:rPr/>
            </w:pPr>
            <w:r>
              <w:rPr/>
              <w:t> </w:t>
            </w:r>
          </w:p>
        </w:tc>
      </w:tr>
      <w:tr>
        <w:trPr/>
        <w:tc>
          <w:tcPr>
            <w:tcW w:w="181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1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6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46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819"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01"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196,209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586" w:type="dxa"/>
            <w:tcBorders/>
            <w:vAlign w:val="bottom"/>
          </w:tcPr>
          <w:p>
            <w:pPr>
              <w:pStyle w:val="TableContents"/>
              <w:bidi w:val="0"/>
              <w:spacing w:before="0" w:after="283"/>
              <w:jc w:val="right"/>
              <w:rPr/>
            </w:pPr>
            <w:r>
              <w:rPr/>
              <w:t>72,245</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651" w:type="dxa"/>
            <w:tcBorders/>
            <w:vAlign w:val="bottom"/>
          </w:tcPr>
          <w:p>
            <w:pPr>
              <w:pStyle w:val="TableContents"/>
              <w:bidi w:val="0"/>
              <w:spacing w:before="0" w:after="283"/>
              <w:jc w:val="right"/>
              <w:rPr/>
            </w:pPr>
            <w:r>
              <w:rPr/>
              <w:t>(4,292</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466" w:type="dxa"/>
            <w:tcBorders/>
            <w:vAlign w:val="bottom"/>
          </w:tcPr>
          <w:p>
            <w:pPr>
              <w:pStyle w:val="TableContents"/>
              <w:bidi w:val="0"/>
              <w:spacing w:before="0" w:after="283"/>
              <w:jc w:val="right"/>
              <w:rPr/>
            </w:pPr>
            <w:r>
              <w:rPr/>
              <w:t>264,162</w:t>
            </w:r>
          </w:p>
        </w:tc>
        <w:tc>
          <w:tcPr>
            <w:tcW w:w="68" w:type="dxa"/>
            <w:tcBorders/>
            <w:vAlign w:val="bottom"/>
          </w:tcPr>
          <w:p>
            <w:pPr>
              <w:pStyle w:val="TableContents"/>
              <w:bidi w:val="0"/>
              <w:spacing w:before="0" w:after="283"/>
              <w:jc w:val="left"/>
              <w:rPr/>
            </w:pPr>
            <w:r>
              <w:rPr/>
              <w:t> </w:t>
            </w:r>
          </w:p>
        </w:tc>
      </w:tr>
      <w:tr>
        <w:trPr/>
        <w:tc>
          <w:tcPr>
            <w:tcW w:w="181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double" w:sz="6" w:space="1" w:color="000000"/>
              </w:pBdr>
              <w:bidi w:val="0"/>
              <w:spacing w:before="0" w:after="0"/>
              <w:jc w:val="left"/>
              <w:rPr/>
            </w:pPr>
            <w:r>
              <w:rPr/>
              <w:t> </w:t>
            </w:r>
          </w:p>
        </w:tc>
        <w:tc>
          <w:tcPr>
            <w:tcW w:w="1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double" w:sz="6" w:space="1" w:color="000000"/>
              </w:pBdr>
              <w:bidi w:val="0"/>
              <w:spacing w:before="0" w:after="0"/>
              <w:jc w:val="left"/>
              <w:rPr/>
            </w:pPr>
            <w:r>
              <w:rPr/>
              <w:t> </w:t>
            </w:r>
          </w:p>
        </w:tc>
        <w:tc>
          <w:tcPr>
            <w:tcW w:w="16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46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4010</Words>
  <Characters>23568</Characters>
  <CharactersWithSpaces>28937</CharactersWithSpaces>
  <Paragraphs>2735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