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mri-20260331.htm"/>
      <w:bookmarkStart w:id="1" w:name="kslmri20260331"/>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8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80"/>
        <w:jc w:val="center"/>
        <w:rPr/>
      </w:pPr>
      <w:r>
        <w:rPr/>
        <w:t> </w:t>
      </w:r>
    </w:p>
    <w:p>
      <w:pPr>
        <w:pStyle w:val="TextBody"/>
        <w:bidi w:val="0"/>
        <w:spacing w:before="1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001-43010</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Lumexa Imaging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3106"/>
        <w:gridCol w:w="1246"/>
      </w:tblGrid>
      <w:tr>
        <w:trPr/>
        <w:tc>
          <w:tcPr>
            <w:tcW w:w="31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41-2605845</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4200 Six Forks Road</w:t>
            </w:r>
          </w:p>
          <w:p>
            <w:pPr>
              <w:pStyle w:val="TableContents"/>
              <w:bidi w:val="0"/>
              <w:spacing w:before="0" w:after="283"/>
              <w:jc w:val="center"/>
              <w:rPr>
                <w:rFonts w:ascii="Times New Roman" w:hAnsi="Times New Roman"/>
                <w:sz w:val="20"/>
              </w:rPr>
            </w:pPr>
            <w:r>
              <w:rPr>
                <w:rFonts w:ascii="Times New Roman" w:hAnsi="Times New Roman"/>
                <w:b/>
                <w:color w:val="000000"/>
                <w:sz w:val="20"/>
              </w:rPr>
              <w:t>Suite 1000 Raleigh,</w:t>
            </w:r>
            <w:r>
              <w:rPr>
                <w:rFonts w:ascii="Times New Roman" w:hAnsi="Times New Roman"/>
                <w:color w:val="000000"/>
                <w:sz w:val="20"/>
              </w:rPr>
              <w:t xml:space="preserve"> </w:t>
            </w:r>
            <w:r>
              <w:rPr>
                <w:rFonts w:ascii="Times New Roman" w:hAnsi="Times New Roman"/>
                <w:b/>
                <w:color w:val="000000"/>
                <w:sz w:val="20"/>
              </w:rPr>
              <w:t>North Carolina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(919)</w:t>
      </w:r>
      <w:r>
        <w:rPr>
          <w:rFonts w:ascii="Times New Roman" w:hAnsi="Times New Roman"/>
          <w:color w:val="000000"/>
          <w:sz w:val="20"/>
        </w:rPr>
        <w:t xml:space="preserve"> </w:t>
      </w:r>
      <w:r>
        <w:rPr>
          <w:rFonts w:ascii="Times New Roman" w:hAnsi="Times New Roman"/>
          <w:b/>
          <w:color w:val="000000"/>
          <w:sz w:val="18"/>
        </w:rPr>
        <w:t>763-1100</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LMRI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12, 2026, the registrant had 96,080,735</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563C1"/>
                  <w:sz w:val="20"/>
                  <w:u w:val="single"/>
                </w:rPr>
                <w:t>Condensed Consolidated Statements Operations and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
              <w:r>
                <w:rPr>
                  <w:rStyle w:val="InternetLink"/>
                  <w:rFonts w:ascii="Times New Roman" w:hAnsi="Times New Roman"/>
                  <w:color w:val="0563C1"/>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common shares)</w:t>
      </w:r>
    </w:p>
    <w:p>
      <w:pPr>
        <w:pStyle w:val="TextBody"/>
        <w:bidi w:val="0"/>
        <w:jc w:val="center"/>
        <w:rPr/>
      </w:pPr>
      <w:r>
        <w:rPr/>
        <w:t> </w:t>
      </w:r>
    </w:p>
    <w:p>
      <w:pPr>
        <w:pStyle w:val="TextBody"/>
        <w:bidi w:val="0"/>
        <w:jc w:val="left"/>
        <w:rPr/>
      </w:pPr>
      <w:r>
        <w:rPr/>
        <w:t> </w:t>
      </w:r>
    </w:p>
    <w:tbl>
      <w:tblPr>
        <w:tblW w:w="9327" w:type="dxa"/>
        <w:jc w:val="left"/>
        <w:tblInd w:w="0" w:type="dxa"/>
        <w:tblLayout w:type="fixed"/>
        <w:tblCellMar>
          <w:top w:w="28" w:type="dxa"/>
          <w:left w:w="28" w:type="dxa"/>
          <w:bottom w:w="28" w:type="dxa"/>
          <w:right w:w="28" w:type="dxa"/>
        </w:tblCellMar>
      </w:tblPr>
      <w:tblGrid>
        <w:gridCol w:w="5976"/>
        <w:gridCol w:w="146"/>
        <w:gridCol w:w="196"/>
        <w:gridCol w:w="826"/>
        <w:gridCol w:w="166"/>
        <w:gridCol w:w="146"/>
        <w:gridCol w:w="241"/>
        <w:gridCol w:w="1019"/>
        <w:gridCol w:w="61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 of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423,191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807,554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ASSETS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1,764,557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pledging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819,029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finance lease liabilities,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operating lease liabilities,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Total liabilities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1,000,000,000</w:t>
            </w:r>
            <w:r>
              <w:rPr>
                <w:rFonts w:ascii="Times New Roman" w:hAnsi="Times New Roman"/>
                <w:color w:val="000000"/>
                <w:sz w:val="20"/>
              </w:rPr>
              <w:t> </w:t>
            </w:r>
            <w:r>
              <w:rPr>
                <w:rFonts w:ascii="Times New Roman" w:hAnsi="Times New Roman"/>
                <w:color w:val="000000"/>
                <w:sz w:val="18"/>
              </w:rPr>
              <w:t>shares authorized, 96,080,735</w:t>
              <w:br/>
              <w:t>   shares issued and outstanding at March 31, 2026 and 96,109,927</w:t>
              <w:br/>
              <w:t>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1,217,087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(631,060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586,123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1,764,557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smallCaps/>
          <w:color w:val="000000"/>
          <w:sz w:val="18"/>
        </w:rPr>
      </w:pPr>
      <w:r>
        <w:rPr>
          <w:rFonts w:ascii="Times New Roman" w:hAnsi="Times New Roman"/>
          <w:smallCaps/>
          <w:color w:val="000000"/>
          <w:sz w:val="18"/>
        </w:rPr>
        <w:t>(1)</w:t>
      </w:r>
    </w:p>
    <w:p>
      <w:pPr>
        <w:pStyle w:val="TextBody"/>
        <w:bidi w:val="0"/>
        <w:jc w:val="both"/>
        <w:rPr/>
      </w:pPr>
      <w:r>
        <w:rPr>
          <w:rFonts w:ascii="Times New Roman" w:hAnsi="Times New Roman"/>
          <w:color w:val="000000"/>
          <w:sz w:val="18"/>
        </w:rPr>
        <w:t>The Company’s condensed consolidated balance sheets include assets of consolidated variable interest entities (“VIEs”), that can only be used to settle obligations and liabilities of the VIE and for which creditors do not have recourse to the primary beneficiary (Lumexa Imaging Holdings, Inc.). As of March 31, 2026 and December 31, 2025, total assets of consolidated VIEs consisted of accounts receivable of $53,434</w:t>
      </w:r>
      <w:r>
        <w:rPr>
          <w:color w:val="000000"/>
        </w:rPr>
        <w:t xml:space="preserve"> </w:t>
      </w:r>
      <w:r>
        <w:rPr>
          <w:rFonts w:ascii="Times New Roman" w:hAnsi="Times New Roman"/>
          <w:color w:val="000000"/>
          <w:sz w:val="18"/>
        </w:rPr>
        <w:t>and $49,560, respectively; accounts receivable, related party of $4,203</w:t>
      </w:r>
      <w:r>
        <w:rPr>
          <w:color w:val="000000"/>
        </w:rPr>
        <w:t xml:space="preserve"> </w:t>
      </w:r>
      <w:r>
        <w:rPr>
          <w:rFonts w:ascii="Times New Roman" w:hAnsi="Times New Roman"/>
          <w:color w:val="000000"/>
          <w:sz w:val="18"/>
        </w:rPr>
        <w:t>and $5,811, respectively; prepaid expenses of $1,383</w:t>
      </w:r>
      <w:r>
        <w:rPr>
          <w:color w:val="000000"/>
        </w:rPr>
        <w:t xml:space="preserve"> </w:t>
      </w:r>
      <w:r>
        <w:rPr>
          <w:rFonts w:ascii="Times New Roman" w:hAnsi="Times New Roman"/>
          <w:color w:val="000000"/>
          <w:sz w:val="18"/>
        </w:rPr>
        <w:t>and $1,502, respectively; other receivables of $5,540</w:t>
      </w:r>
      <w:r>
        <w:rPr>
          <w:color w:val="000000"/>
        </w:rPr>
        <w:t xml:space="preserve"> </w:t>
      </w:r>
      <w:r>
        <w:rPr>
          <w:rFonts w:ascii="Times New Roman" w:hAnsi="Times New Roman"/>
          <w:color w:val="000000"/>
          <w:sz w:val="18"/>
        </w:rPr>
        <w:t>and $4,463, respectively; property and equipment, net of accumulated depreciation of $17,803</w:t>
      </w:r>
      <w:r>
        <w:rPr>
          <w:color w:val="000000"/>
        </w:rPr>
        <w:t xml:space="preserve"> </w:t>
      </w:r>
      <w:r>
        <w:rPr>
          <w:rFonts w:ascii="Times New Roman" w:hAnsi="Times New Roman"/>
          <w:color w:val="000000"/>
          <w:sz w:val="18"/>
        </w:rPr>
        <w:t>and $17,669, respectively; operating lease right-of-use assets of $9,391</w:t>
      </w:r>
      <w:r>
        <w:rPr>
          <w:color w:val="000000"/>
        </w:rPr>
        <w:t xml:space="preserve"> </w:t>
      </w:r>
      <w:r>
        <w:rPr>
          <w:rFonts w:ascii="Times New Roman" w:hAnsi="Times New Roman"/>
          <w:color w:val="000000"/>
          <w:sz w:val="18"/>
        </w:rPr>
        <w:t>and $9,541, respectively; goodwill of $101,802</w:t>
      </w:r>
      <w:r>
        <w:rPr>
          <w:color w:val="000000"/>
        </w:rPr>
        <w:t xml:space="preserve"> </w:t>
      </w:r>
      <w:r>
        <w:rPr>
          <w:rFonts w:ascii="Times New Roman" w:hAnsi="Times New Roman"/>
          <w:color w:val="000000"/>
          <w:sz w:val="18"/>
        </w:rPr>
        <w:t>and $101,802, respectively; investments in unconsolidated affiliates of $53,065</w:t>
      </w:r>
      <w:r>
        <w:rPr>
          <w:color w:val="000000"/>
        </w:rPr>
        <w:t xml:space="preserve"> </w:t>
      </w:r>
      <w:r>
        <w:rPr>
          <w:rFonts w:ascii="Times New Roman" w:hAnsi="Times New Roman"/>
          <w:color w:val="000000"/>
          <w:sz w:val="18"/>
        </w:rPr>
        <w:t>and $54,087, respectively; and other assets of $24,059</w:t>
      </w:r>
      <w:r>
        <w:rPr>
          <w:color w:val="000000"/>
        </w:rPr>
        <w:t xml:space="preserve"> </w:t>
      </w:r>
      <w:r>
        <w:rPr>
          <w:rFonts w:ascii="Times New Roman" w:hAnsi="Times New Roman"/>
          <w:color w:val="000000"/>
          <w:sz w:val="18"/>
        </w:rPr>
        <w:t>and $21,554, respectively. As of March 31, 2026 and December 31, 2025, total liabilities of consolidated VIEs consisted of accounts payable of $336</w:t>
      </w:r>
      <w:r>
        <w:rPr>
          <w:color w:val="000000"/>
        </w:rPr>
        <w:t xml:space="preserve"> </w:t>
      </w:r>
      <w:r>
        <w:rPr>
          <w:rFonts w:ascii="Times New Roman" w:hAnsi="Times New Roman"/>
          <w:color w:val="000000"/>
          <w:sz w:val="18"/>
        </w:rPr>
        <w:t>and $373, respectively; accrued expenses and other current liabilities of $12,025</w:t>
      </w:r>
      <w:r>
        <w:rPr>
          <w:color w:val="000000"/>
        </w:rPr>
        <w:t xml:space="preserve"> </w:t>
      </w:r>
      <w:r>
        <w:rPr>
          <w:rFonts w:ascii="Times New Roman" w:hAnsi="Times New Roman"/>
          <w:color w:val="000000"/>
          <w:sz w:val="18"/>
        </w:rPr>
        <w:t>and $18,150, respectively; current portion of operating leases of $1,599</w:t>
      </w:r>
      <w:r>
        <w:rPr>
          <w:color w:val="000000"/>
        </w:rPr>
        <w:t xml:space="preserve"> </w:t>
      </w:r>
      <w:r>
        <w:rPr>
          <w:rFonts w:ascii="Times New Roman" w:hAnsi="Times New Roman"/>
          <w:color w:val="000000"/>
          <w:sz w:val="18"/>
        </w:rPr>
        <w:t>and $1,647, respectively; other liabilities of $28,252</w:t>
      </w:r>
      <w:r>
        <w:rPr>
          <w:color w:val="000000"/>
        </w:rPr>
        <w:t xml:space="preserve"> </w:t>
      </w:r>
      <w:r>
        <w:rPr>
          <w:rFonts w:ascii="Times New Roman" w:hAnsi="Times New Roman"/>
          <w:color w:val="000000"/>
          <w:sz w:val="18"/>
        </w:rPr>
        <w:t>and $25,724, respectively; and long-term operating lease liabilities, less current maturities of $8,392</w:t>
      </w:r>
      <w:r>
        <w:rPr>
          <w:color w:val="000000"/>
        </w:rPr>
        <w:t xml:space="preserve"> </w:t>
      </w:r>
      <w:r>
        <w:rPr>
          <w:rFonts w:ascii="Times New Roman" w:hAnsi="Times New Roman"/>
          <w:color w:val="000000"/>
          <w:sz w:val="18"/>
        </w:rPr>
        <w:t>and $8,492, respectively. See Note 10 “Variable Interest Entities” for further discussion.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9434" w:type="dxa"/>
        <w:jc w:val="left"/>
        <w:tblInd w:w="0" w:type="dxa"/>
        <w:tblLayout w:type="fixed"/>
        <w:tblCellMar>
          <w:top w:w="28" w:type="dxa"/>
          <w:left w:w="28" w:type="dxa"/>
          <w:bottom w:w="28" w:type="dxa"/>
          <w:right w:w="28" w:type="dxa"/>
        </w:tblCellMar>
      </w:tblPr>
      <w:tblGrid>
        <w:gridCol w:w="5491"/>
        <w:gridCol w:w="546"/>
        <w:gridCol w:w="211"/>
        <w:gridCol w:w="1036"/>
        <w:gridCol w:w="146"/>
        <w:gridCol w:w="146"/>
        <w:gridCol w:w="211"/>
        <w:gridCol w:w="1036"/>
        <w:gridCol w:w="611"/>
      </w:tblGrid>
      <w:tr>
        <w:trPr/>
        <w:tc>
          <w:tcPr>
            <w:tcW w:w="54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69,523,369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69,523,369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common share: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6" w:name="consolidated_statements_of_stock_equity"/>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sz w:val="20"/>
        </w:rPr>
      </w:pPr>
      <w:r>
        <w:rPr>
          <w:rFonts w:ascii="Times New Roman" w:hAnsi="Times New Roman"/>
          <w:b/>
          <w:color w:val="000000"/>
          <w:sz w:val="20"/>
        </w:rPr>
        <w:t>(in thousands, except common shares)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44"/>
        <w:gridCol w:w="146"/>
        <w:gridCol w:w="146"/>
        <w:gridCol w:w="1036"/>
        <w:gridCol w:w="166"/>
        <w:gridCol w:w="146"/>
        <w:gridCol w:w="261"/>
        <w:gridCol w:w="430"/>
        <w:gridCol w:w="146"/>
        <w:gridCol w:w="146"/>
        <w:gridCol w:w="216"/>
        <w:gridCol w:w="955"/>
        <w:gridCol w:w="166"/>
        <w:gridCol w:w="146"/>
        <w:gridCol w:w="211"/>
        <w:gridCol w:w="841"/>
        <w:gridCol w:w="166"/>
        <w:gridCol w:w="146"/>
        <w:gridCol w:w="228"/>
        <w:gridCol w:w="850"/>
        <w:gridCol w:w="213"/>
      </w:tblGrid>
      <w:tr>
        <w:trPr/>
        <w:tc>
          <w:tcPr>
            <w:tcW w:w="3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of restricted stock units related</w:t>
              <w:br/>
              <w:t>   to retention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96,080,735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599,620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120" w:after="283"/>
        <w:jc w:val="center"/>
        <w:rPr>
          <w:rFonts w:ascii="Times New Roman" w:hAnsi="Times New Roman"/>
          <w:b/>
          <w:color w:val="000000"/>
          <w:sz w:val="20"/>
        </w:rPr>
      </w:pPr>
      <w:bookmarkStart w:id="7" w:name="consolidated_statements_of_cash_flows"/>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left"/>
        <w:rPr/>
      </w:pPr>
      <w:r>
        <w:rPr/>
        <w:t> </w:t>
      </w:r>
    </w:p>
    <w:tbl>
      <w:tblPr>
        <w:tblW w:w="10021" w:type="dxa"/>
        <w:jc w:val="left"/>
        <w:tblInd w:w="0" w:type="dxa"/>
        <w:tblLayout w:type="fixed"/>
        <w:tblCellMar>
          <w:top w:w="28" w:type="dxa"/>
          <w:left w:w="28" w:type="dxa"/>
          <w:bottom w:w="28" w:type="dxa"/>
          <w:right w:w="28" w:type="dxa"/>
        </w:tblCellMar>
      </w:tblPr>
      <w:tblGrid>
        <w:gridCol w:w="6396"/>
        <w:gridCol w:w="746"/>
        <w:gridCol w:w="200"/>
        <w:gridCol w:w="675"/>
        <w:gridCol w:w="169"/>
        <w:gridCol w:w="149"/>
        <w:gridCol w:w="200"/>
        <w:gridCol w:w="675"/>
        <w:gridCol w:w="811"/>
      </w:tblGrid>
      <w:tr>
        <w:trPr/>
        <w:tc>
          <w:tcPr>
            <w:tcW w:w="63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lease right-of-use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cloud computing implementation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from investments in unconsolidated affiliates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(gain)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related party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Capitalized cloud computing implementation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receivables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or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contributions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accounts receivable pledging arrangement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58,828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LUMEXA IMAGING holdings, inc. AND SUBSIDIARIES</w:t>
      </w:r>
    </w:p>
    <w:p>
      <w:pPr>
        <w:pStyle w:val="TextBody"/>
        <w:bidi w:val="0"/>
        <w:spacing w:before="240" w:after="283"/>
        <w:jc w:val="center"/>
        <w:rPr>
          <w:rFonts w:ascii="Times New Roman" w:hAnsi="Times New Roman"/>
          <w:b/>
          <w:color w:val="000000"/>
          <w:sz w:val="20"/>
        </w:rPr>
      </w:pPr>
      <w:bookmarkStart w:id="8" w:name="notes_to_consolidated_financial_stateme"/>
      <w:bookmarkEnd w:id="8"/>
      <w:r>
        <w:rPr>
          <w:rFonts w:ascii="Times New Roman" w:hAnsi="Times New Roman"/>
          <w:b/>
          <w:color w:val="000000"/>
          <w:sz w:val="20"/>
        </w:rPr>
        <w:t>Notes to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Lumexa Imaging Holdings, Inc., a Delaware corporation, (the “Company”) was incorporated on November 14, 2025. On December 10, 2025, Lumexa Imaging Equity Holdco, LLC (formerly US Radiology Specialists Holdings LLC) (“Holdings LLC”) contributed 100% of its equity in its wholly owned consolidated operating entities to the Company in exchange for 68,856,706 shares of the Company’s common stock, par value $0.001 per share (“Common Stock”) at the time of the pricing of the Company’s initial public offering (“IPO”), and the Company agreed to issue certain additional shares of Common Stock in the future in respect of certain incentive units of Holdings LLC (“Incentive Units”) that remained outstanding after the IPO (such contribution, the “Equity Reorganization”). The number of shares received by Holdings LLC in the Equity Reorganization was calculated based on a distribution ratio of 1 share of Common Stock per 9 units of Holdings LLC. The Equity Reorganization was accounted for as a common control transaction as it did not result in a change of control over the Company's operating entities. The consolidated historical financial statements prior to the IPO are those of Holdings LLC and its consolidated subsidiaries after giving effect to the Equity Reorganization.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12, 2025, the Company completed the IPO of 25,000,000 shares of Common Stock at a price to the public of $18.50 per share. The gross proceeds of the IPO were $462.5 million, before underwriting discounts of $27.8 million and offering costs of $7.8 million. $406.4 million of the net proceeds were used to pay down a portion of the Company's outstanding borrowings.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together with its subsidiaries, is a network of diagnostic outpatient imaging centers in the United States, many of which are operated directly or indirectly through investments in unconsolidated affiliates with hospital partners. The investments in unconsolidated affiliates are accounted for using the equity method of accounting. The Company also has relationships with physician-owned radiology practices, which provide professional services to the Company and third-party hospitals. The Company has operations in 13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operates its business through two wholly owned subsidiaries: Lumexa Imaging, Inc. (formerly US Radiology Specialists, Inc., (“LII”)) and Lumexa Imaging Outpatient, Inc. (formerly US Outpatient Imaging Specialists, Inc., (“LIOI”)). The consolidated financial statements include the accounts of Lumexa Imaging Holdings, Inc., its wholly owned subsidiaries and entities in which the Company has a controlling financial interest, also known as a variable interest entity (“VIE”). Generally accepted accounting principles in the United States of America (“GAAP”) require variable interest entities to be consolidated if an entity’s interest in the VIE is a controlling financial interest. See further discussion of VIEs in Note 2 “Summary of Significant Accounting Policies.” </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Principles of Consolidation and Basis of Financial Statement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its wholly owned subsidiaries and controlled affiliates that are considered to be VIEs for which the Company is the primary beneficiary. See “Variable Interest Entities” below for further discussion of the Company’s VIEs. Investments in companies in which the Company has the ability to exercise significant influence, but not control, are accounted for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intercompany accounts and transactions with consolidated entities have been eliminated in consolidation. The Company does not have any components of other comprehensive income within its condensed consolidated financial statements, and, therefore, does not separately present a statement of comprehensive income (loss) in its condensed consolidated financial statements. The accompanying condensed consolidated financial statements have been prepared in conformity with accounting principles generally accepted in the United States of America (“US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presents equity in earnings from investments in unconsolidated affiliates as a component of operating income since the activities of the investees are closely aligned with the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prepared the accompanying condensed consolidated financial statements in accordance with US GAAP for interim financial information, and the rules and regulations of the U.S. Securities and Exchange Commission (“SEC”) applicable to interim financial reporting. Accordingly, these condensed consolidated financial statements do not include all of the information and footnotes required for complete annual financial statements and should be read in conjunction with the audited consolidated financial statements and accompanying notes as of and for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the Company, the accompanying condensed consolidated financial statements contain all adjustments, consisting of only normal recurring adjustments, necessary for a fair statement of its financial position as of March 31, 2026 and its results of operations and cash flows for the three months ended March 31, 2026 and 2025. The condensed consolidated balance sheet as of December 31, 2025, was derived from audited annual consolidated financial statements but does not contain all of the footnote disclosures from the audited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as of and for the year ended December 31, 2025 contained in the Company’s Annual Report on Form 10-K filed with the SEC on March 30, 2026. There have been no material changes in the Company’s significant accounting policies during the three months ended March 31, 2026.</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condensed consolidated financial statements in conformity with US GAAP requires the use of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The most significant assumptions and estimates underlying these condensed consolidated financial statements and accompanying notes involve calculation of the Company’s provision for price concessions reducing revenue, allowances on accounts receivable, the fair value of assets and liabilities acquired in business combinations, the fair value of equity issued in business combinations, useful lives of property and equipment, long-lived asset and goodwill impairment analyses, valuation allowance on deferred tax assets and the fair value of equity awards. These estimates involve judgments with respect to numerous factors that are difficult to predict and are beyond management’s control. Although the Company believes its assumptions are reasonable, actual results could differ from those estimates. </w:t>
      </w:r>
    </w:p>
    <w:p>
      <w:pPr>
        <w:pStyle w:val="TextBody"/>
        <w:bidi w:val="0"/>
        <w:spacing w:before="360" w:after="283"/>
        <w:jc w:val="both"/>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requires an entity to consolidate a VIE if the entity is determined to be the primary beneficiary of the VIE. Under the VIE model, the primary beneficiary is the party that meets both the following criteria: it has (i) the power to direct the activities of the VIE that most significantly impact the VIE’s economic performance and (ii) the obligation to absorb the losses, or the right to receive benefits, from the VIE that could potentially be significant to the VIE. The Company determines whether the Company is the primary beneficiary of a VIE through a qualitative analysis. As the primary beneficiary, the VIE’s assets, liabilities and results of operations are included in the Company’s consolidated financial statements (see Note 10 “Variable Interest Entities”). The creditors of the VIEs do not have recourse to the Company’s general credit, however, the Company may need to provide financial support to cover any operating expenses in excess of operating revenues in the VIEs. The Company performs ongoing reassessments of whether changes in the facts and circumstances regarding the Company’s involvement with a VIE will cause the consolidation conclusion to change. Changes in consolidation status, if any, are applied prospectively.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VIEs in which the Company is the primary beneficiary. Those VIEs include Charlotte Radiology, P.A. (“CRAD”), Connexia, LLC (“Connexia”), South Jersey Radiology Associates, P.A. (“South Jersey”), Radiology Associates of Burlington County, P.A. (“RABC”), Larchmont Imaging Associates, L.L.C. (“LIA”), Upstate Carolina Radiology, P.A. (“UCR”), and Windsong Radiology Group, P.C. (“Windsong”) (collectively, the “VIE Physician Practices”). Additionally, one of the Company’s wholly owned subsidiaries, American Health Imaging, Inc. (“AHI”), provides management and administrative services to five unaffiliated physician-owned imaging centers which use the AHI name (“Franchise Centers”). The Franchise Centers are also considered VIEs that the Company consolidates. Transactions with VIEs are eliminated in consolidation. </w:t>
      </w:r>
    </w:p>
    <w:p>
      <w:pPr>
        <w:pStyle w:val="TextBody"/>
        <w:bidi w:val="0"/>
        <w:spacing w:before="360" w:after="283"/>
        <w:jc w:val="both"/>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Net Patient Service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revenues are generated by providing diagnostic imaging services (i.e. scans) and physician interpretation services (i.e. reads) to patients within outpatient imaging centers. The Company also earns professional services revenue where revenue is earned by providing physician interpretation services to patients at hospitals or other sites of care. The contractual relationships with patients (i.e., the customers), in most cases, also involve a third-party payor. Third-party payors include entities such as Medicare, Medicaid, managed care health plans and commercial insurance companies. The fees for the services provided are dependent upon the terms provided by Medicare and Medicaid, or negotiated with managed care health plans and commercial insurance companies.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payment arrangements with third-party payors for the services the Company provides to the related patients typically specify payments at amounts </w:t>
      </w:r>
      <w:r>
        <w:rPr>
          <w:rFonts w:ascii="Times New Roman" w:hAnsi="Times New Roman"/>
          <w:color w:val="231F20"/>
          <w:sz w:val="20"/>
        </w:rPr>
        <w:t>less than the Company’s standard charges and generally provide for payments based upon predetermined rates per diagnostic imaging service and physician interpretation service. The payment terms indicate that payment is due upon receipt and there is no significant financing component associated with the services provided. Management continually reviews the contractual estimation process to consider and incorporate updates to laws and regulations and the frequent changes in managed care contractual terms resulting from contract renegotiations and renewals. As such, revenue is recognized based on the Company’s estimate of the implicit price concessions (i.e. expected cash collections from patients and third-party payors) for each service offering rendered. The Company determines its estimate of implicit price concessions based on historical collection experience with classes of patients using a portfolio approach as a practical expedient. Performance obligations for net patient services revenue are recognized at the read date. This point in time is considered to be representative of the timing in which the respective performance obligations are satisfied. The Company has no obligation to provide further patient service, and because the Company primarily performs outpatient procedures, performance obligations are generally satisfied same day and revenue is recognized on the date of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evaluates amounts collected in relation to billed charges and records estimated price concessions to account for the anticipated differences between billed amounts and amounts ultimately collected. Estimates of price concessions are reported in the period during which the services are provided even though the actual amounts may become known at a later date.</w:t>
      </w:r>
    </w:p>
    <w:p>
      <w:pPr>
        <w:pStyle w:val="TextBody"/>
        <w:bidi w:val="0"/>
        <w:spacing w:before="240" w:after="283"/>
        <w:jc w:val="both"/>
        <w:rPr>
          <w:rFonts w:ascii="Times New Roman" w:hAnsi="Times New Roman"/>
          <w:sz w:val="20"/>
        </w:rPr>
      </w:pPr>
      <w:r>
        <w:rPr>
          <w:rFonts w:ascii="Times New Roman" w:hAnsi="Times New Roman"/>
          <w:color w:val="000000"/>
          <w:sz w:val="20"/>
        </w:rPr>
        <w:t>Accordingly, net patient service revenue is presented net of an estimated provision for price concessions. The Company estimates the allowance for price concessions based upon historical collections experience in relation to the amounts billed, changes in contractual rates, past adjustm</w:t>
      </w:r>
      <w:r>
        <w:rPr>
          <w:rFonts w:ascii="Times New Roman" w:hAnsi="Times New Roman"/>
          <w:color w:val="231F20"/>
          <w:sz w:val="20"/>
        </w:rPr>
        <w:t>ents, current contract and reimbursement terms, changes in payor mix, an aging of accounts receivable, and other relevant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disaggregates net patient service revenue by major third-party payor source for the periods presented: </w:t>
      </w:r>
    </w:p>
    <w:p>
      <w:pPr>
        <w:pStyle w:val="TextBody"/>
        <w:bidi w:val="0"/>
        <w:jc w:val="left"/>
        <w:rPr/>
      </w:pPr>
      <w:r>
        <w:rPr/>
        <w:t> </w:t>
      </w:r>
    </w:p>
    <w:tbl>
      <w:tblPr>
        <w:tblW w:w="5547" w:type="dxa"/>
        <w:jc w:val="left"/>
        <w:tblInd w:w="0" w:type="dxa"/>
        <w:tblLayout w:type="fixed"/>
        <w:tblCellMar>
          <w:top w:w="28" w:type="dxa"/>
          <w:left w:w="28" w:type="dxa"/>
          <w:bottom w:w="28" w:type="dxa"/>
          <w:right w:w="28" w:type="dxa"/>
        </w:tblCellMar>
      </w:tblPr>
      <w:tblGrid>
        <w:gridCol w:w="2101"/>
        <w:gridCol w:w="146"/>
        <w:gridCol w:w="281"/>
        <w:gridCol w:w="810"/>
        <w:gridCol w:w="521"/>
        <w:gridCol w:w="281"/>
        <w:gridCol w:w="281"/>
        <w:gridCol w:w="810"/>
        <w:gridCol w:w="3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Management Fee and Other Revenue, Related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contracts with certain unconsolidated affiliates and other related parties to provide management and administrative services on a monthly basis. These management and administrative services include, but are not limited to, contract negotiation, claims processing, utilization review, operations management, information technology, human resources, risk management, legal, compliance, budgeting and finance, accounting, staffing, and marketing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provides management and administrative services to its consolidated VIEs, including CRAD, South Jersey, RABC, LIA, UCR, Windsong and Connexia, directly or through various wholly owned management service organization (“MSO”) subsidiaries. The MSOs provide management and administrative services including, but not limited to, contract negotiation, claims processing, utilization review, operations management, information technology, human resources, risk management, legal, compliance, budgeting and finance, accounting, and marketing services. These services are provided through administrative services agreements (“ASAs”), which have term lengths that are between 20 and 30 years long.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ASAs, the Company receives fees from the VIEs, unconsolidated affiliates, and other related parties for the services performed. The Company has exclusive responsibility for the provision of all nonmedical services required for the day-to-day operation and management of the physician practices and outpatient imaging centers, which are subject to these ASAs. These fees charged to consolidated physician practices and outpatient imaging centers are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AHI provides management and administrative services to the Franchise Centers pursuant to the associated franchise agreements. The franchise agreements have a term length of 20 years. The services include, but are not limited to, contract negotiation, claims processing, utilization review, operations management, information technology, human resources, risk management, legal, compliance,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budgeting and finance, accounting, and marketing services. The Company, via AHI, receives royalty, billing, and management fees from the Franchise Centers for the use of the AHI name and the services performed. The Company has exclusive responsibility for the provision of all nonmedical services required for the day-to-day operation and management of the Franchise Centers. The fees received from the Franchise Centers are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management agreements also provide for the recovery of clinical and management support costs that these entities incur based on their utilization of the Company’s clinical staff in their operations and actual costs incurred by the Company in delivering the management services (collectively referred to as “pass-through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charges for the management and administrative services rendered based on a defined formula outlined in the contracts based on the net revenues of the related party. The amount recognized for the recovery of pass-through costs is based on the actual costs of leased employees providing the services. Both the charges for management and administrative services and the amounts recognized for the recovery of pass-through costs are considered variable consideration. There is no fixed consideration with respect to these arrangements. This revenue is reported within management fee and other revenue, related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management fee revenue on a monthly basis as the performance obligations are satisfied over time (i.e., monthly revenues are recorded for the month to which the services relate), and any unpaid amounts are reflected in accounts receivable, related party in the consolidated balance sheets. The performance obligation with respect to management fee revenue is treated as a series of distinct services provided over the related contracts’ terms, because each month of services performed is substantially the same and has the same pattern of transfer to the customer. The remaining variable consideration at the end of each reporting period is allocated entirely to that single performance obligation. See Note 12 “Related Party Transactions” for further information regarding the Company’s related party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Management Fee and Other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fee and other revenue primarily consists of management and administrative services performed for third-party hospitals. This revenue is recognized as the performance obligations are satisfied over time and any unpaid amounts are reflected in accounts receivable in the condensed consolidated balance sheets.</w:t>
      </w:r>
    </w:p>
    <w:p>
      <w:pPr>
        <w:pStyle w:val="TextBody"/>
        <w:bidi w:val="0"/>
        <w:spacing w:before="360" w:after="283"/>
        <w:jc w:val="both"/>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Accounts receivable represent charges to patients, third-party insurance payors, government-sponsored payors, and other payors for which payment has not been received. The Company continuously monitors collections from payors based upon specific payor collection issues that it has identified and historical experience. While changes in estimated reimbursement from third-party payors remain a possibility, the Company expects that any such changes would be minimal and, therefore, would not have a material effect on its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collection policies and procedures are based on the type of payor, size of claim, and estimated collection percentage for each modality. The Company analyzes accounts receivable at each of its operating entities to ensure the proper collection and aged category. Collection efforts include direct contact with third-party payors or patients, written correspondence, and the use of legal or collection agency assistance, as required.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percentage of accounts receivable by payor class was as follows: </w:t>
      </w:r>
    </w:p>
    <w:p>
      <w:pPr>
        <w:pStyle w:val="TextBody"/>
        <w:bidi w:val="0"/>
        <w:jc w:val="both"/>
        <w:rPr/>
      </w:pPr>
      <w:r>
        <w:rPr/>
        <w:t> </w:t>
      </w:r>
    </w:p>
    <w:tbl>
      <w:tblPr>
        <w:tblW w:w="5320" w:type="dxa"/>
        <w:jc w:val="left"/>
        <w:tblInd w:w="0" w:type="dxa"/>
        <w:tblLayout w:type="fixed"/>
        <w:tblCellMar>
          <w:top w:w="28" w:type="dxa"/>
          <w:left w:w="28" w:type="dxa"/>
          <w:bottom w:w="28" w:type="dxa"/>
          <w:right w:w="28" w:type="dxa"/>
        </w:tblCellMar>
      </w:tblPr>
      <w:tblGrid>
        <w:gridCol w:w="2101"/>
        <w:gridCol w:w="146"/>
        <w:gridCol w:w="262"/>
        <w:gridCol w:w="758"/>
        <w:gridCol w:w="271"/>
        <w:gridCol w:w="146"/>
        <w:gridCol w:w="335"/>
        <w:gridCol w:w="970"/>
        <w:gridCol w:w="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Attorney liens represent patient accounts receivable related to ongoing litigation between third parties, in which the Company has been contracted to provide imaging services. The Company is not directly involved in the ongoing litigation. Payment is not made until litigation is completed, which can exceed 36 months. Other third-party payors include government plans (excluding Medicare and Medicaid), workers’ compensation, and contract plans. </w:t>
      </w:r>
    </w:p>
    <w:p>
      <w:pPr>
        <w:pStyle w:val="TextBody"/>
        <w:bidi w:val="0"/>
        <w:spacing w:before="360" w:after="283"/>
        <w:jc w:val="both"/>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single customer exceeded 10% of net patient service revenue during the three months ended March 31,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cash equivalents, and accounts receivable. The Company maintains its cash balances principally in major financial institutions. The cash is subject to credit risk to the extent that the balances exceed the FDIC insured limit of $250,000.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regularly considers its ability to collect outstanding receivable balances. The Company receives payments for services rendered from federal and state agencies (under the Medicare and Medicaid programs), managed care health plans, commercial insurance companies, employers, attorneys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that revenues and receivables from commercial payors and government agencies are significant to its operations but does not believe there are significant credit risks associated with these counterparties.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owns 49% of an investment in an unconsolidated affiliate, BTDI JV, LLP (“BTDI”), which made up 72% and 72% of management fees and other revenue, related party, during the three months ended March 31, 2026 and 2025, respectively, and 63% and 60% of accounts receivable, related party, as of March 31, 2026 and December 31, 2025, respectively. Refer to Note 12 “Related Party Transactions” for further discussion on the related party relationships.</w:t>
      </w:r>
    </w:p>
    <w:p>
      <w:pPr>
        <w:pStyle w:val="TextBody"/>
        <w:bidi w:val="0"/>
        <w:spacing w:before="360" w:after="283"/>
        <w:jc w:val="both"/>
        <w:rPr>
          <w:rFonts w:ascii="Times New Roman" w:hAnsi="Times New Roman"/>
          <w:sz w:val="20"/>
        </w:rPr>
      </w:pPr>
      <w:r>
        <w:rPr>
          <w:rFonts w:ascii="Times New Roman" w:hAnsi="Times New Roman"/>
          <w:b/>
          <w:i/>
          <w:color w:val="000000"/>
          <w:sz w:val="20"/>
        </w:rPr>
        <w:t>Holdings LLC Common Units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IPO, Holdings LLC had historically issued common units of Holdings LLC (“Common Units”) in exchange for cash. Additionally, affiliates of the Company (the “Holding Companies”), whose only assets were Common Units, had issued their own equity in conjunction with the acquisition of certain physician practices. Shares of the Holding Companies generally vest on a cliff basis after five years of service or upon a sale of Holdings LLC.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Unless subject to documented exceptions for retirees, Holdings LLC equity that is issued to owners who do not perform the requisite five years of service is forfeited, and if owned indirectly via a Holding Company, the forfeited interest is reallocated to the remaining owners of the Holding Company. Given that the Holding Companies’ primary purpose is to own common equity of Holdings LLC, it was concluded that the Holding Company shares are substantially similar to Holdings LLC’s common equity. As a result, the Holding Company equity is accounted for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(“ASC 718”).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Income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follows the two-class method when computing net income (loss) per common share when shares are issued that meet the definition of participating securities. The two-class method determines net income (loss) per common share for each class of common share and participating securities according to dividends declared or accumulated and participation rights in undistributed earnings. The two-class method requires income available to common stockholders for the period to be allocated between common shares and participating securities based upon their respective rights to receive dividends as if all income for the period had been distributed.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the net income (loss) by the weighted-average number of common shares outstanding during the period, less shares subject to repurchase. The diluted net income (loss) per common share is computed by giving effect to all potentially dilutive securities outstanding for the period. Equity awards with only a service condition are included in diluted net income per common share under the treasury stock method. Equity awards containing a market condition are excluded under the treasury stock method unless the condition has been met at the end of the applicable reporting period. For periods in which the Company reports net losses, diluted net loss per common share is the same as basic net loss per common share, because potentially dilutive common shares are not assumed to have been issued if their effect is antidilutive. For example, Holdings LLC Incentive Units are considered participating securities prior to the Company’s Equity Reorganization that occurred (See Note 1) in connection with the IPO because they contractually entitled the holders of such units to participate in dividends. However, the Incentive Units do not contractually require such holders to participate in Holdings LLC’s losses, and therefore during periods of loss, Incentive Units are excluded from the number of weighted average common shares outstanding for calculating basic loss per common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purposes of determining the basic and diluted weighted-average number of common shares outstanding during the periods presented that are prior to the IPO, the Company retrospectively reflected the Equity Reorganization. As such, the basic and diluted weighted-average number of common shares outstanding for those periods reflect the contribution by the Company of shares of Common Stock to Holdings LLC on a 1 share of Common Stock to 9 units of Holdings LLC ratio, assuming that all such shares of Common Stock were issued and outstanding as of the beginning of the earliest period presented. In periods following the Equity Reorganization, only shares of the Company’s Common Stock represent participating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Holdings LLC Incentive Unit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IPO, Holdings LLC granted incentive units to key employees, directors and physicians achieving partner status under its 2018 Equity Incentive Plan. Compensation expense is recognized for all incentive unit awards based on estimated fair value on the grant date. Unit-based compensation is expensed over the requisite service period using the straight-line method for awards with time-based vesting criteria, and forfeitures are accounted for as they occur. Upon a qualifying liquidity event of Holdings LLC, which is defined as the date when all or substantially all of the Holdings LLC’s securities have been sold, all time-based incentive units outstanding will vest. Certain incentive unit awards have performance-based vesting criteria based on the achievement of a qualifying liquidity event. Awards with performance criteria will vest, and the related compensation expense will be recognized, when the probability of a qualifying liquidity event is probable. The fair value of awards is computed using the Monte Carlo simulation which is affected by Holdings LLC’s unit price and related volatility, expected dividend yield, term of the award, exercise price and risk-free interest rate. As part of the IPO, outstanding Holdings LLC Incentive Units either remained outstanding, were converted to shares of the Common Stock or converted to new equity awards in the Company under the Lumexa Imaging Holdings, Inc. 2025 Equity and Incentive Plan (“2025 Equity Plan”). See Note 8 “Stock-Based Compensation” for further discussion.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issued stock-based awards to key employees and directors under the 2025 Equity Plan in the form of restricted stock units (“RSUs”), restricted stock awards (“RSAs”) and stock options. The Company accounts for these stock-based awards based on their grant date fair values. Determining the grant date fair values of stock-based awards requires management to make assumptions and judgments. The fair value of awards with market conditions is computed using the Monte Carlo simulation which is affected by the Company’s stock price and related volatility, expected dividend yield, term of the award, exercise price and risk-free interest rate. The fair value of service-based RSUs and RSAs is determined using the Company’s stock price as of the date of grant. These assumptions reflect the Company’s best estimates, but they involve inherent uncertainties based on market conditions. Stock-based compensation expense is recognized on a straight-line basis for awards with service vesting conditions, whereas awards with market conditions are recognized using the accelerated attribution method. Forfeitures are accounted for as they occur. See Note 8 “Stock-based Compensation” for further discussion.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Cloud Computing Software Implementation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certain costs related to cloud computing software implementations. These costs are capitalized once certain criteria are met and are primarily comprised of contracted labor, direct labor and related expenses. Costs related to overhead, general and administrative and training costs are expensed as incurred. The eligible costs are capitalized once the project is defined, funding is committed, and it is confirmed the software will be used for its intended use. Capitalization of these costs concludes once the project is substantially complete and ready for its intended purpose. Post-configuration training and maintenance costs are expensed as incurred.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capitalized cloud computing software implementation costs are reported as a component of prepaid expenses and other assets on the condensed consolidated balance sheets. As of March 31, 2026, the Company had $2.4 million (within prepaid expenses) and $5.5 million (within other assets) of such costs on the condensed consolidated balance sheet. As of December 31, 2025, the Company had $1.3 million (within prepaid expenses) and $4.6 million (within other assets) of such costs on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costs are amortized using the straight line method over their respective contract service periods, including periods covered by an option to extend, ranging from one to 10 years. Amortization expense for capitalized cloud computing implementation costs for the three months ended March 31, 2026 and 2025 was $0.2 million and $0.1 million, respectively, and is included in cost of operations, excluding depreciation and amortization in the condensed consolidated statements of operations and comprehensive income (loss).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Investments in Unconsolidated Affiliates</w:t>
      </w:r>
    </w:p>
    <w:p>
      <w:pPr>
        <w:pStyle w:val="TextBody"/>
        <w:bidi w:val="0"/>
        <w:spacing w:before="240" w:after="283"/>
        <w:jc w:val="both"/>
        <w:rPr>
          <w:rFonts w:ascii="Times New Roman" w:hAnsi="Times New Roman"/>
          <w:sz w:val="20"/>
        </w:rPr>
      </w:pPr>
      <w:r>
        <w:rPr>
          <w:rFonts w:ascii="Times New Roman" w:hAnsi="Times New Roman"/>
          <w:color w:val="000000"/>
          <w:sz w:val="20"/>
        </w:rPr>
        <w:t>Investme</w:t>
      </w:r>
      <w:r>
        <w:rPr>
          <w:rFonts w:ascii="Times New Roman" w:hAnsi="Times New Roman"/>
          <w:color w:val="231F20"/>
          <w:sz w:val="20"/>
        </w:rPr>
        <w:t>nts in unconsolidated affiliates in which the Company has the ability to exert significant influence but less than a controlling interest are accounted for using the equity method of accounting. Investments in unconsolidated affiliates are initially recorded at cost, unless there is a deconsolidation where the investments are a result of the Company no longer having control of a previously controlled entity but still retaining a non-controlling interest. Under the equity method of accounting, the Company’s proportionate share of an investee’s net assets is reflected on the Company’s consolidated balance sheets and the Company’s proportionate share of earnings and losses are reflected on the Company’s consolidated statements of operations and comprehensive loss. The Company assesses the carrying value of its investments in unconsolidated affiliates annually or more frequently if events arise that may indicate that the value of the investment is not recoverable. The Company examines potential impairments by considering factors such as current economic and market conditions and the operating performance of the investees. Should such examination indicate that an impairment is more than short-term in nature, a charge to earnings and the carrying value of the investment would be recorded. As of December 31, 2025, the Company performed its annual assessment of investments in unconsolidated affiliates and determined that these investments were not impaired.</w:t>
      </w:r>
    </w:p>
    <w:p>
      <w:pPr>
        <w:pStyle w:val="TextBody"/>
        <w:bidi w:val="0"/>
        <w:spacing w:before="240" w:after="283"/>
        <w:jc w:val="both"/>
        <w:rPr>
          <w:rFonts w:ascii="Times New Roman" w:hAnsi="Times New Roman"/>
          <w:sz w:val="20"/>
        </w:rPr>
      </w:pPr>
      <w:r>
        <w:rPr>
          <w:rFonts w:ascii="Times New Roman" w:hAnsi="Times New Roman"/>
          <w:color w:val="000000"/>
          <w:sz w:val="20"/>
        </w:rPr>
        <w:t>The Company’s investments in unconsolidated affiliates distribute cash and allocate income to the Company in accordance with the terms of thei</w:t>
      </w:r>
      <w:r>
        <w:rPr>
          <w:rFonts w:ascii="Times New Roman" w:hAnsi="Times New Roman"/>
          <w:color w:val="231F20"/>
          <w:sz w:val="20"/>
        </w:rPr>
        <w:t>r respective agreements. The Company has made an accounting policy election to classify distributions received from such unconsolidated affiliates using the “nature of distribution” approach which classifies distributions received from unconsolidated affiliates as either cash inflows from operating activities or cash inflows from investing activities in the statement of cash flows based on the nature of the activities of the unconsolidated affiliate that generated the distribution.</w:t>
      </w:r>
    </w:p>
    <w:p>
      <w:pPr>
        <w:pStyle w:val="TextBody"/>
        <w:bidi w:val="0"/>
        <w:spacing w:before="360" w:after="283"/>
        <w:jc w:val="both"/>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prepares its segment reporting in accordance with ASC 280, </w:t>
      </w:r>
      <w:r>
        <w:rPr>
          <w:rFonts w:ascii="Times New Roman" w:hAnsi="Times New Roman"/>
          <w:i/>
          <w:color w:val="000000"/>
          <w:sz w:val="20"/>
        </w:rPr>
        <w:t>Segment Reporting</w:t>
      </w:r>
      <w:r>
        <w:rPr>
          <w:rFonts w:ascii="Times New Roman" w:hAnsi="Times New Roman"/>
          <w:color w:val="000000"/>
          <w:sz w:val="20"/>
        </w:rPr>
        <w:t xml:space="preserve">, which establishes standards for entities reporting information about the operating segments and geographic areas in which they operate. The Company’s products and operations are managed and reported in two operating segments: Outpatient Imaging Centers (“Outpatient”) and Professional Services (“Professional”). The Company’s Chief Executive Officer, who is its Chief Operating Decision Maker (“CODM”), reviews the segments’ performance for the purpose of making operating decisions, assessing financial performance, and deciding how to allocate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and December 31, 2025, all of the Company’s long-lived assets were located in the United States, and for the three months ended March 31, 2026 and 2025, all revenue was earned in the United States.</w:t>
      </w:r>
    </w:p>
    <w:p>
      <w:pPr>
        <w:pStyle w:val="TextBody"/>
        <w:bidi w:val="0"/>
        <w:spacing w:before="36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Financial Accounting Standards Board (“FASB”) issued Accounting Standards Update (“ASU”) 2025-06, </w:t>
      </w:r>
      <w:r>
        <w:rPr>
          <w:rFonts w:ascii="Times New Roman" w:hAnsi="Times New Roman"/>
          <w:i/>
          <w:color w:val="000000"/>
          <w:sz w:val="20"/>
        </w:rPr>
        <w:t>Accounting for and Disclosure of Software Costs.</w:t>
      </w:r>
      <w:r>
        <w:rPr>
          <w:rFonts w:ascii="Times New Roman" w:hAnsi="Times New Roman"/>
          <w:color w:val="000000"/>
          <w:sz w:val="20"/>
        </w:rPr>
        <w:t xml:space="preserve"> The new standard modernizes the guidance to reflect the software development approaches currently being used by removing all references to “development stages” from ASC 350-40, </w:t>
      </w:r>
      <w:r>
        <w:rPr>
          <w:rFonts w:ascii="Times New Roman" w:hAnsi="Times New Roman"/>
          <w:i/>
          <w:color w:val="000000"/>
          <w:sz w:val="20"/>
        </w:rPr>
        <w:t>Intangibles--Good and Other - Internal Use Software.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ASU 2025-06, only the following criteria in ASC 350-40-25-12(b) and (c) must be met for entities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(referred to as the “probable-to-complete recognition threshold”). ASU 2025-06 is effective for all entities for annual reporting periods beginning after December 15, 2027, and interim reporting periods within those annual reporting periods, with early adoption permitted. Entities may apply the guidance prospectively, retrospectively, or via a modified prospective transition method. The Company is evaluating this new standard, but does not expect it to have a significant impact on its consolidated financial statement presentation or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permitting an entity to assume that conditions at the balance sheet date remain unchanged over the life of the asset when estimating expected credit losses for current accounts receivable and current contract assets. ASU 2025-05 is effective for annual reporting periods beginning after December 15, 2025, and for interim periods within those annual reporting periods, with early adoption permitted. The Company adopted ASU 2025-05 on January 1, 2026 on a prospective basis. There was no impact on the Company’s condensed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which requires the disclosure of information about certain costs and expenses that are included in relevant expense captions on the face of the income statement. The amendments require disclosure of specific expense categories in the notes to the financial statements for both interim and annual reporting periods. The amendment also requires disaggregated information about certain prescribed expense categories underlying any relevant income statement expense caption. ASU No. 2024-03 is effective for annual periods beginning after December 15, 2026 and interim periods beginning after December 15, 2027. Early adoption is permitted. The Company is currently evaluating the impact the adoption of this guidance will have on its consolidated financial statement disclosures.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which expands income tax disclosure requirements to include additional information related to the rate reconciliation of effective tax to statutory rates, as well as additional disaggregation of taxes paid in both U.S. and foreign jurisdictions. The amendments in the ASU also remove disclosures related to certain unrecognized tax benefits and deferred taxes. The Company has elected to take advantage of the extended transition period pursuant to Section 107 of the Jump Start Our Business Startups Act (“JOBS Act”). Section 107 of the JOBS Act provides that an emerging growth company can use the extended transition period provided in Section 7(a)(2)(B) of the Securities Act of 1933, as amended, for complying with new or revised accounting standards. This permits an emerging growth company, like the Company, to delay the adoption of certain accounting standards until those standards would otherwise apply to private companies. As a result, ASU No. 2023-09 is effective for the Company’s annual consolidated financial statements for the fiscal year ending December 31, 2026. The Company is currently evaluating the impact the adoption of this guidance will have on its consolidated financial statement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Income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income (loss) per common share for the periods indicated (in thousands, except for common share and per common share data): </w:t>
      </w:r>
    </w:p>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4246"/>
        <w:gridCol w:w="346"/>
        <w:gridCol w:w="211"/>
        <w:gridCol w:w="1036"/>
        <w:gridCol w:w="146"/>
        <w:gridCol w:w="146"/>
        <w:gridCol w:w="211"/>
        <w:gridCol w:w="1036"/>
        <w:gridCol w:w="411"/>
      </w:tblGrid>
      <w:tr>
        <w:trPr/>
        <w:tc>
          <w:tcPr>
            <w:tcW w:w="4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w:t>
              <w:br/>
              <w:t>   outstanding, basic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69,523,369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share issuable upon exercise or vesting</w:t>
              <w:br/>
              <w:t>   of dilutive stock options, RSAs or RSUs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w:t>
              <w:br/>
              <w:t>   outstanding,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95,983,243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69,523,369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w:t>
              <w:br/>
              <w:t>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March 31, 2026, potentially dilutive securities associated with approximately 3.2 million stock options and 1.0 million RSUs were excluded from the computation of diluted loss per common share because including them would have had an anti-dilutive effect.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Common Stock associated with potentially dilutive securities associated with 12.3 million Incentive Units, were excluded from the computation of diluted net loss per common share because including them would have had an anti-dilutive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purposes of determining the basic and diluted weighted-average number of common shares outstanding as of March 31, 2025, the Company retrospectively reflected the Equity Reorganization that occurred (See Note 1) in connection with the IPO. As such, the basic and diluted weighted average number of common shares outstanding for those periods reflect the contribution by the Company of shares of Common Stock to Holdings LLC on a 1 share of Common Stock to 9 units of Holdings LLC ratio, assuming that all such shares of Common Stock were issued and outstanding as of the beginning of the earliest period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4. Supplemental Cash Flow Information</w:t>
      </w:r>
      <w:r>
        <w:rPr>
          <w:rFonts w:ascii="Times New Roman" w:hAnsi="Times New Roman"/>
          <w:color w:val="000000"/>
          <w:sz w:val="20"/>
        </w:rPr>
        <w:t xml:space="preserve"> </w:t>
      </w:r>
    </w:p>
    <w:p>
      <w:pPr>
        <w:pStyle w:val="TextBody"/>
        <w:bidi w:val="0"/>
        <w:jc w:val="left"/>
        <w:rPr/>
      </w:pPr>
      <w:r>
        <w:rPr/>
        <w:t> </w:t>
      </w:r>
    </w:p>
    <w:tbl>
      <w:tblPr>
        <w:tblW w:w="7236" w:type="dxa"/>
        <w:jc w:val="left"/>
        <w:tblInd w:w="0" w:type="dxa"/>
        <w:tblLayout w:type="fixed"/>
        <w:tblCellMar>
          <w:top w:w="28" w:type="dxa"/>
          <w:left w:w="28" w:type="dxa"/>
          <w:bottom w:w="28" w:type="dxa"/>
          <w:right w:w="28" w:type="dxa"/>
        </w:tblCellMar>
      </w:tblPr>
      <w:tblGrid>
        <w:gridCol w:w="4431"/>
        <w:gridCol w:w="346"/>
        <w:gridCol w:w="211"/>
        <w:gridCol w:w="677"/>
        <w:gridCol w:w="146"/>
        <w:gridCol w:w="146"/>
        <w:gridCol w:w="211"/>
        <w:gridCol w:w="677"/>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w:t>
              <w:br/>
              <w:t>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w:t>
              <w:br/>
              <w:t>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acquired under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acquired under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 in accounts</w:t>
              <w:br/>
              <w:t>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both"/>
        <w:rPr/>
      </w:pPr>
      <w:r>
        <w:rPr/>
        <w:t> </w:t>
      </w:r>
    </w:p>
    <w:tbl>
      <w:tblPr>
        <w:tblW w:w="6175" w:type="dxa"/>
        <w:jc w:val="left"/>
        <w:tblInd w:w="0" w:type="dxa"/>
        <w:tblLayout w:type="fixed"/>
        <w:tblCellMar>
          <w:top w:w="28" w:type="dxa"/>
          <w:left w:w="28" w:type="dxa"/>
          <w:bottom w:w="28" w:type="dxa"/>
          <w:right w:w="28" w:type="dxa"/>
        </w:tblCellMar>
      </w:tblPr>
      <w:tblGrid>
        <w:gridCol w:w="3016"/>
        <w:gridCol w:w="346"/>
        <w:gridCol w:w="217"/>
        <w:gridCol w:w="698"/>
        <w:gridCol w:w="146"/>
        <w:gridCol w:w="146"/>
        <w:gridCol w:w="289"/>
        <w:gridCol w:w="92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labor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claims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sharing plan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malpractice accrual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6. Long-Term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Company’s long-term debt (in thousands): </w:t>
      </w:r>
    </w:p>
    <w:p>
      <w:pPr>
        <w:pStyle w:val="TextBody"/>
        <w:bidi w:val="0"/>
        <w:jc w:val="left"/>
        <w:rPr/>
      </w:pPr>
      <w:r>
        <w:rPr/>
        <w:t> </w:t>
      </w:r>
    </w:p>
    <w:tbl>
      <w:tblPr>
        <w:tblW w:w="7437" w:type="dxa"/>
        <w:jc w:val="left"/>
        <w:tblInd w:w="0" w:type="dxa"/>
        <w:tblLayout w:type="fixed"/>
        <w:tblCellMar>
          <w:top w:w="28" w:type="dxa"/>
          <w:left w:w="28" w:type="dxa"/>
          <w:bottom w:w="28" w:type="dxa"/>
          <w:right w:w="28" w:type="dxa"/>
        </w:tblCellMar>
      </w:tblPr>
      <w:tblGrid>
        <w:gridCol w:w="4161"/>
        <w:gridCol w:w="346"/>
        <w:gridCol w:w="211"/>
        <w:gridCol w:w="781"/>
        <w:gridCol w:w="166"/>
        <w:gridCol w:w="146"/>
        <w:gridCol w:w="258"/>
        <w:gridCol w:w="957"/>
        <w:gridCol w:w="411"/>
      </w:tblGrid>
      <w:tr>
        <w:trPr/>
        <w:tc>
          <w:tcPr>
            <w:tcW w:w="4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pledging arrangement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and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debt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accounts receivable pledging arrangement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of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maturities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Scheduled maturities of long-term debt as of March 31, 2026, excluding the Accounts Receivable Pledging Arrangement, were as follows (in thousands): </w:t>
      </w:r>
    </w:p>
    <w:p>
      <w:pPr>
        <w:pStyle w:val="TextBody"/>
        <w:bidi w:val="0"/>
        <w:jc w:val="both"/>
        <w:rPr/>
      </w:pPr>
      <w:r>
        <w:rPr/>
        <w:t> </w:t>
      </w:r>
    </w:p>
    <w:tbl>
      <w:tblPr>
        <w:tblW w:w="4310" w:type="dxa"/>
        <w:jc w:val="left"/>
        <w:tblInd w:w="0" w:type="dxa"/>
        <w:tblLayout w:type="fixed"/>
        <w:tblCellMar>
          <w:top w:w="28" w:type="dxa"/>
          <w:left w:w="28" w:type="dxa"/>
          <w:bottom w:w="28" w:type="dxa"/>
          <w:right w:w="28" w:type="dxa"/>
        </w:tblCellMar>
      </w:tblPr>
      <w:tblGrid>
        <w:gridCol w:w="2581"/>
        <w:gridCol w:w="346"/>
        <w:gridCol w:w="211"/>
        <w:gridCol w:w="781"/>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Senior Secured Credit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15, 2020, the Company entered into a senior secured credit agreement (“Original Credit Agreement”) consisting of a secured term loan facility of $790 million (“Original Term Loan”) and a secured revolving credit facility of $165 million (“Original Revolving Credit Facility”). On December 31, 2021, the Company entered into Incremental Amendment No. 1 (“First Amendment”) to its Original Credit Agreement. The First Amendment consisted of an additional $450 million incremental term loan. All other terms of the Original Credit Agreement remained unchanged. On March 21, 2023, the Company entered into Amendment No. 2 (“Second Amendment”) to its Original Credit Agreement. The Second Amendment transitioned the term loan benchmark interest rate from Eurodollar to Secured Overnight Financing Rate (“SOFR”) interest pricing. On July 16, 2024, the Company entered into Amendment No. 3 (“Third Amendment”) to its Original Credit Agreement. The Third Amendment reduced the Original Term Loan’s interest rate to SOFR, plus 4.75% per annum (where the applicable SOFR rate had a 0.5% floor). On November 22, 2024, the Company entered into Amendment No. 4 (“Fourth Amendment”) to its Original Credit Agreement. The Fourth Amendment extended the maturity to the Original Revolving Credit Facility to September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2025, the Company entered into Amendment No. 5 to the Original Credit Agreement (Original Credit Agreement, as so amended, the “Amended Credit Agreement”). The Amended Credit Agreement provides for (i) a secured term loan facility of $825.0 million (“Refinancing Term Loan”) and (ii) a secured revolving line of credit of $250.0 million (“Amended Revolving Credit Facility”). The Refinancing Term Loan bears interest at SOFR plus 3.0%, or the Prime Rate plus 2.0%, and matures in December 2032. The Amended Revolving Credit Facility bears interest at SOFR plus 3.0%, or the Prime Rate plus 2.0%, and matures in December 2030. Proceeds from the Refinancing Term Loan of $825.0 million, along with $406.4 million of the Company’s IPO proceeds, were utilized to repay the term loans in full that were outstanding under the Original Credit Agreement. The Refinancing Term Loan requires quarterly principal payments of $2.1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Amended Credit Agreement was evaluated under ASC 470-50, </w:t>
      </w:r>
      <w:r>
        <w:rPr>
          <w:rFonts w:ascii="Times New Roman" w:hAnsi="Times New Roman"/>
          <w:i/>
          <w:color w:val="000000"/>
          <w:sz w:val="20"/>
        </w:rPr>
        <w:t>Debt-Modifications and Extinguishments</w:t>
      </w:r>
      <w:r>
        <w:rPr>
          <w:rFonts w:ascii="Times New Roman" w:hAnsi="Times New Roman"/>
          <w:color w:val="000000"/>
          <w:sz w:val="20"/>
        </w:rPr>
        <w:t>. The borrowings under the Original Credit Agreement and the Amended Credit Agreement represented a loan syndication. As such, the accounting for the Amended Credit Agreement was evaluated on a lender by lender basis and resulted in new borrowings, extinguishments and modifications depending on each lender’s participation or lack thereof in the Amended Credit Agreement and the Original Credit Agreement. The Company incurred a total of $19.3 million in third party and lender costs as part of the Amended Credit Agreement. The Company capitalized $5.4 million and $5.9 million of costs associated with the Refinancing Term Loan and Amended Revolving Credit Facility, respectively. Such amounts are reported in Long-term debt, less current maturities and Other assets, respectively, on the condensed consolidated balance sheet as of December 31, 2025. The remaining $8.0 million of costs were expensed within Loss on extinguishment of debt in the consolidated statement of operations for the year ended December 31, 2025. Additionally, as part of the Amended Credit Agreement, $5.4 million of previously capitalized debt issuance costs were expensed within Loss on extinguishment of debt in the consolidated statement of operations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both March 31, 2026 and December 31, 2025, the interest rate on the Refinancing Term Loan was 6.7%. No amounts were outstanding under the Amended Revolving Credit Facility as of March 31, 2026 or December 31, 2025. Additionally, a commitment fee accrues per annum on the unused revolver commitments. The fee varies based on the Company’s leverage ratio. As of March 31, 2026 and December 31, 2025, the unused commitment fee was 0.50%. The fair value of the Refinancing Term Loan, which is classified within Long Term Debt on its condensed consolidated balance sheets, was $825.0 million and $829.0 million as of March 31, 2026 and December 31, 2025, respectively. The fair value estimates for the Company’s Refinancing Term Loan are based on bid quotes for comparable liabilities in inactive markets, a Level 2 input.</w:t>
      </w:r>
    </w:p>
    <w:p>
      <w:pPr>
        <w:pStyle w:val="TextBody"/>
        <w:bidi w:val="0"/>
        <w:spacing w:before="360" w:after="283"/>
        <w:jc w:val="left"/>
        <w:rPr>
          <w:rFonts w:ascii="Times New Roman" w:hAnsi="Times New Roman"/>
          <w:sz w:val="20"/>
        </w:rPr>
      </w:pPr>
      <w:r>
        <w:rPr>
          <w:rFonts w:ascii="Times New Roman" w:hAnsi="Times New Roman"/>
          <w:i/>
          <w:color w:val="000000"/>
          <w:sz w:val="20"/>
        </w:rPr>
        <w:t>Covenants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Amended Credit Agreement contains various restrictive covenants, including financial covenants that limit the Company’s ability and the ability of its subsidiaries to incur additional debt, pay dividends and other distributions, and engage in certain other transactions as specified therein. Failure to comply with these covenants could constitute an event of default notwithstanding the Company’s ability to meet its debt service obligations. The Company’s financial covenant is triggered if outstanding revolving credit exposure exceeds 40% of the aggregate principal amount of the Amended Revolving Credit Facility on the last day of the quarterly reporting period. If the covenant is triggered, the Company’s consolidated net leverage ratio on the last day of the test period shall not exceed 7.5 to 1. As of March 31, 2026, the Company’s outstanding revolving credit exposure did not exceed 40% of the aggregate principal amount of the Amended Revolving Credit Facility and, therefore, did not trigger the covenant. The Amended Credit Agreement includes various customary remedies for the lenders following an event of default. The Company was in compliance with all applicable covenants in the Amended Credit Agreement as of March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borrowings under the Amended Credit Agreement are guaranteed by LII and LIOI and each other wholly owned subsidiary of the Company, subject to certain exceptions. Substantially all of the assets of the Company are pledged as collateral in connection with the Amended Credit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Promissory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financed the acquisition of certain medical equipment and leasehold improvements under promissory notes. The promissory notes bear interest at rates ranging from 8.75% to 12.35% per annum and mature at various times through 2031. The promissory notes are collateralized by property and equipment of the Company and given the nature of the promissory notes, it was determined that the fair value approximates carrying value.</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Pledging Arrangement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2025, the Company entered into an accounts receivable pledging arrangement (the “AR Pledging Arrangement”) with a third-party financing company (the “Financer”). The final payment of the pledged accounts receivable will be settled through the judicial system (i.e., litigation between third parties), rather than by the associated patient or insurance company (the “Legal AR”). Under the AR Pledging Arrangement, the Company pledges certain of its Legal AR to the Financer in exchange for an advance cash payment in an amount equal to a predefined percentage multiplied by the amount due under such Legal AR. The AR Pledging Arrangement does not qualify for sale accounting, and the amounts received are reported as collateralized borrowings. Accordingly, the related assets remain on the Company’s condensed consolidated balance sheet and continue to be accounted for as if the transfer had not occurred. As of March 31, 2026, $1.7 million was outstanding under the AR Pledging Arrangement, which is secured by $3.5 million of accounts receivable. As of December 31, 2025, $1.6 million was outstanding under the AR Pledging Arrangement, which is secured by $3.3 million of accounts receivable. The amounts borrowed are reported as a current liability on the condensed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Financer also acts as a servicer of the Legal AR over its remaining life and, upon settlement and collection on the Legal AR, the Company owes the Financer a servicing fee that is equal to a predefined percentage multiplied by the amount of cash collected. Until settlement and collection, the Legal AR under this arrangement is recognized by the Company and used to secure the borrowing from Financer. The Company has elected to account for the secured borrowing by utilizing the fair value option. There have been no material changes in the fair value of the secured borrowing as of March 31, 2026. Therefore, no mark to market adjustment has been recognized for the three months ended March 31, 2026. </w:t>
      </w:r>
    </w:p>
    <w:p>
      <w:pPr>
        <w:pStyle w:val="TextBody"/>
        <w:bidi w:val="0"/>
        <w:spacing w:before="360" w:after="283"/>
        <w:jc w:val="left"/>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2026 and 2025, income tax expense was $1.4 million and $3.4 million, respectively. The Company’s effective tax rate for the three months ended March 31, 2026 was 44.3% compared to (78.4)% for the same period in 2025. The difference in the effective tax rate is primarily due to the change in the Company’s tax-paying components as a result of the Equity Reorganization, changes in non-deductible compensation and the related impacts to the valuation allowance.</w:t>
      </w:r>
    </w:p>
    <w:p>
      <w:pPr>
        <w:pStyle w:val="TextBody"/>
        <w:bidi w:val="0"/>
        <w:spacing w:before="36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stock-based compensation expense includes Holdings LLC Common Units and Incentive Units as well as stock options, RSUs and RSAs issued under the 2025 Equity Plan (together, the “Employee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associated with Holdings LLC Common Units is recorded within Cost of operations, excluding depreciation and amortization and stock-based compensation related to the remaining equity awards is presented within General and administrative expense in the Company’s condensed consolidated statements of operations and comprehensive income (loss). The following table presents the components of stock-based compensation expense for the Employee Awards for the periods indicated (in thousands): </w:t>
      </w:r>
    </w:p>
    <w:p>
      <w:pPr>
        <w:pStyle w:val="TextBody"/>
        <w:bidi w:val="0"/>
        <w:spacing w:before="120" w:after="283"/>
        <w:jc w:val="both"/>
        <w:rPr/>
      </w:pPr>
      <w:r>
        <w:rPr/>
        <w:t> </w:t>
      </w:r>
    </w:p>
    <w:tbl>
      <w:tblPr>
        <w:tblW w:w="4971" w:type="dxa"/>
        <w:jc w:val="left"/>
        <w:tblInd w:w="0" w:type="dxa"/>
        <w:tblLayout w:type="fixed"/>
        <w:tblCellMar>
          <w:top w:w="28" w:type="dxa"/>
          <w:left w:w="28" w:type="dxa"/>
          <w:bottom w:w="28" w:type="dxa"/>
          <w:right w:w="28" w:type="dxa"/>
        </w:tblCellMar>
      </w:tblPr>
      <w:tblGrid>
        <w:gridCol w:w="2566"/>
        <w:gridCol w:w="146"/>
        <w:gridCol w:w="222"/>
        <w:gridCol w:w="713"/>
        <w:gridCol w:w="154"/>
        <w:gridCol w:w="154"/>
        <w:gridCol w:w="222"/>
        <w:gridCol w:w="603"/>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Holdings LLC 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RSAs and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12,274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 Company granted 615,100 time vesting RSUs and 78,800 market vesting RSUs under the 2025 Equity Plan. The time vesting RSUs vest over three years of continuous service, while the market based RSUs vest upon achievement of specified price targets over a defined trading period. The aggregate grant-date fair value of these awards was $10.1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9. 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Regulatory Oversight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expects that audits, inquiries, and investigations from government authorities and agencies will occur in the ordinary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audits, inquiries, and investigations and their ultimate resolutions, individually or in the aggregate, could have a material adverse effect on the Company’s business, financial conditions, results of the operations, and cash flows. The Company has not recorded a reserve for these matters as of March 31, 2026 and December 31, 2025, as the variables affecting any potential eventual liability depends on the current unknown facts and circumstances that arise out of, and are specific to, any particular future audit, inquiry, and investigation and cannot be reasonably estimated at this time. Management believes that the resolution of all current regulatory matters will not result in a material impact to the Company’s financial condition, results of operation, or cash flows. </w:t>
      </w:r>
    </w:p>
    <w:p>
      <w:pPr>
        <w:pStyle w:val="TextBody"/>
        <w:bidi w:val="0"/>
        <w:spacing w:before="36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subject to various legal proceedings, medical malpractice claims and regulatory tax inquiries and investigations that arise in the ordinary course of its business. With respect to these matters, the Company evaluates the developments on a regular basis and accrues a liability when we believe a loss is probable and the amount can be reasonably estimated. Based on current information, the Company does not believe that reasonably possible or probable losses associated with pending legal proceedings would, either individually or in the aggregate, have a material adverse effect on business and consolidated financial statements. However, the outcome of these matters is inherently uncertain. </w:t>
      </w:r>
    </w:p>
    <w:p>
      <w:pPr>
        <w:pStyle w:val="TextBody"/>
        <w:bidi w:val="0"/>
        <w:spacing w:before="360" w:after="283"/>
        <w:jc w:val="both"/>
        <w:rPr>
          <w:rFonts w:ascii="Times New Roman" w:hAnsi="Times New Roman"/>
          <w:sz w:val="20"/>
        </w:rPr>
      </w:pPr>
      <w:r>
        <w:rPr>
          <w:rFonts w:ascii="Times New Roman" w:hAnsi="Times New Roman"/>
          <w:b/>
          <w:color w:val="000000"/>
          <w:sz w:val="20"/>
        </w:rPr>
        <w:t>10. Variable Interest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VIEs consist of both VIE Physician Practices and Franchise Centers. </w:t>
      </w:r>
    </w:p>
    <w:p>
      <w:pPr>
        <w:pStyle w:val="TextBody"/>
        <w:bidi w:val="0"/>
        <w:spacing w:before="360" w:after="283"/>
        <w:jc w:val="left"/>
        <w:rPr>
          <w:rFonts w:ascii="Times New Roman" w:hAnsi="Times New Roman"/>
          <w:sz w:val="20"/>
        </w:rPr>
      </w:pPr>
      <w:r>
        <w:rPr>
          <w:rFonts w:ascii="Times New Roman" w:hAnsi="Times New Roman"/>
          <w:b/>
          <w:i/>
          <w:color w:val="000000"/>
          <w:sz w:val="20"/>
        </w:rPr>
        <w:t>VIE Physician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VIE Physician Practices are wholly owned, from an equity ownership perspective and for certain regulatory reasons, by certain physicians (the “Physician Owners”) who are employed by the Company or a VIE Physician Practice. The VIE Physician Practices were established to operate as medical radiology practices and provide their patients with professional interpretation services. At various points between 2018 and 2023, via the establishment or acquisition of the MSOs and execution of the ASAs and other contractual agreements, the Company acquired a controlling financial interest in the VIE Physician Practices (described below in detail). Through the ASAs, the MSOs have exclusive responsibility for the provision of non-medical services required for the day-to-day operation and management of each of the VIE Physician Practices, including establishing annual capital and operating budgets, and making recommendations to the VIE Physician Practices in establishing the guidelines for the employment and compensation for the physicians and other employees of the VIE Physician Practices. Via other contractual agreements, the Company has the right to designate an appropriate licensed person(s) to purchase the equity interest of the VIE Physician Practices for nominal amount in the event of a transfer event at the Company’s discretion.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assessing whether the Company should consolidate the VIE Physician Practices, the Company evaluated whether it has a variable interest in the VIE Physician Practices, whether the VIE Physician Practices are VIEs, and whether the Company has a controlling financial interest in the VIE Physician Practices. The Company concluded that it has variable interests in the VIE Physician Practices on the basis that the Company has the right to receive income as an ongoing management fee under the ASAs, which effectively absorbs all of the residual interests of the VIE Physician Practices. The Company also has the implicit obligation to absorb losses of the VIE Physician Practices and to additionally provide, in certain circumstances, cash advances to the VIE Physician Practices if the VIE Physician Practices have insufficient funds. The Company did not provide any such cash advances to the VIE Physician Practices during the three months ended March 31, 2026 or 2025. The Company determined the VIE Physician Practices are VIEs due to insufficient equity at risk and/or the holders of the equity at risk in the VIE Physician Practices (i.e., the Physician Owners) lacking the power, through voting rights or similar rights, to direct the activities that most significantly impact the VIE Physician Practices’ economic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contractual arrangements described above allow the Company to direct the activities that most significantly impact the economic performance of the VIE Physician Practices. Accordingly, the Company is the primary beneficiary of the VIE Physician Practices and consolidates the VIE Physician Practices under the VIE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 below illustrates the assets and liabilities of the VIE Physician Practices (in thousands): </w:t>
      </w:r>
    </w:p>
    <w:p>
      <w:pPr>
        <w:pStyle w:val="TextBody"/>
        <w:bidi w:val="0"/>
        <w:jc w:val="both"/>
        <w:rPr/>
      </w:pPr>
      <w:r>
        <w:rPr/>
        <w:t> </w:t>
      </w:r>
    </w:p>
    <w:tbl>
      <w:tblPr>
        <w:tblW w:w="7306" w:type="dxa"/>
        <w:jc w:val="left"/>
        <w:tblInd w:w="0" w:type="dxa"/>
        <w:tblLayout w:type="fixed"/>
        <w:tblCellMar>
          <w:top w:w="28" w:type="dxa"/>
          <w:left w:w="28" w:type="dxa"/>
          <w:bottom w:w="28" w:type="dxa"/>
          <w:right w:w="28" w:type="dxa"/>
        </w:tblCellMar>
      </w:tblPr>
      <w:tblGrid>
        <w:gridCol w:w="3521"/>
        <w:gridCol w:w="546"/>
        <w:gridCol w:w="223"/>
        <w:gridCol w:w="828"/>
        <w:gridCol w:w="146"/>
        <w:gridCol w:w="146"/>
        <w:gridCol w:w="277"/>
        <w:gridCol w:w="1028"/>
        <w:gridCol w:w="591"/>
      </w:tblGrid>
      <w:tr>
        <w:trPr/>
        <w:tc>
          <w:tcPr>
            <w:tcW w:w="35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VIE</w:t>
              <w:br/>
              <w:t>PHYSICIAN</w:t>
              <w:br/>
              <w:t>PRACTICES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VIE</w:t>
              <w:br/>
              <w:t>PHYSICIAN</w:t>
              <w:br/>
              <w:t>PRACTICES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of consolidated VIEs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of consolidated VIEs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assets of consolidated VIEs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209,416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Franchise Centers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Franchise Centers operate as franchisees of AHI and are wholly owned, from an equity ownership perspective and for certain regulatory reasons, by certain radiologists (the “Franchisees”) who have contracts with and provide clinical services to the patients of the Franchise Centers. The Franchise Centers were established to operate as medical radiology practices and imaging centers offering patients MRI, CT, and ultrasound imaging services. Through the franchise agreements and management service agreements (“MSAs”), AHI has exclusive responsibility for the provision of non-medical services required for the day-to-day operation and management of each of the Franchise Centers, including establishing annual capital and operating budgets and makes recommendations to the Franchise Centers in establishing the guidelines for the physicians and other employees of the Franchise Centers. The franchise agreements also restrict the Franchisees’ ability to transfer the ownership interest without AHI’s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assessing whether AHI should consolidate the Franchise Centers, the Company evaluated whether AHI holds a variable interest in the Franchise Centers, if the Franchise Centers are VIEs, and whether AHI has a controlling financial interest in the Franchise Centers. The Company concluded that AHI has the right to receive income as an ongoing management fee under the MSAs, which effectively absorbs all of the residual interest of the Franchise Centers. AHI also has the implicit obligation to absorb losses of the Franchise Centers and to additionally provide, in certain circumstances, cash advances to the Franchise Centers, if the Franchise Centers have insufficient funds. AHI did not provide any such cash advances to the Franchise Centers during the three months ended March 31, 2026 or 2025. The Company determined that the Franchise Centers are considered VIEs because their equity at risk is insufficient to finance their activities without additional support.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contractual arrangements above allow AHI to direct the activities that most significantly impact the Franchise Centers’ economic performance. Thus, AHI is the primary beneficiary and consolidates the Franchise Centers.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Total assets and liabilities included in the Company’s condensed consolidated balance sheets associated with the Franchise Centers were $7.6 million and $7.2 million and $5.0 million and $5.0 million, respectively, as of March 31,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direct result of the nominal initial equity contributions by the Physician Owners and the Franchisees and the provisions of the contractual arrangements described above, the interests held by the noncontrolling interest holders of the Company’s VIEs (inclusive of the VIE Physician Practices and the Franchise Centers) lack economic substance and do not provide them with any right to participate in residual profits or losses generated by the Company’s VIEs. These rights are instead implicit in the corporate governance laws governing the relevant VIE’s constitutive documents by virtue of the fact that such noncontrolling interest holders are the sole owners of the equity of the relevant VIE. However, after paying relevant expenses, including clinical staff salaries as well as administrative service fees to the Company, the VIEs do not have residual profits remaining. Additionally, because the Company absorbs all expected losses of its VIEs through its deferral of administrative service fees and the Company expects that its VIEs will continue to have a shortfall on their payment of such administrative service fees, noncontrolling interest holders in the VIEs are not expected to be allocated any residual profits, losses, dividends or liquidation proceeds. Therefore, the noncontrolling interests in the VIEs have no material value and the income and expenses recognized by the VIEs are attributable in totality to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not identified any VIEs during the three months ended March 31, 2026 or 2025, for which the Company determined that it is not the primary beneficiary and thus did not consolidate. No VIEs were deconsolidated during the three months ended March 31, 2026 or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Investments in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operates 86 imaging centers (“JV centers”) through joint ventures with health system partners.</w:t>
      </w:r>
    </w:p>
    <w:p>
      <w:pPr>
        <w:pStyle w:val="TextBody"/>
        <w:bidi w:val="0"/>
        <w:spacing w:before="120" w:after="283"/>
        <w:jc w:val="left"/>
        <w:rPr>
          <w:rFonts w:ascii="Times New Roman" w:hAnsi="Times New Roman"/>
          <w:sz w:val="20"/>
        </w:rPr>
      </w:pPr>
      <w:r>
        <w:rPr>
          <w:rFonts w:ascii="Times New Roman" w:hAnsi="Times New Roman"/>
          <w:b/>
          <w:i/>
          <w:color w:val="000000"/>
          <w:sz w:val="20"/>
        </w:rPr>
        <w:t>BTDI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Touchstone Imaging of Mesquite, LLC (“TMI”), a wholly owned subsidiary of LIOI, and Baylor University Medical Center (BUMC) own a 49% and 51% interest, respectively, in BTDI. The Company accounts for TMI’s noncontrolling interest in the investment in the unconsolidated affiliate under the equity method of accounting.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All Others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other investments in unconsolidated affiliates include Carolinas Imaging Services, LLC (“CIS”), Virtua Adult Imaging JV (“Virtua JV”), SCLTDI JV, LLC (“SCLTDI”), IH-USRS Imaging, LLC (“IH-USRS”), RLC, LLC, (“RLC”), and Tucson Medical Imaging Partners, LLC (“TMIP”). The Company has ownership interests in these entities ranging from 30% to 50%. The Company accounts for these investments in unconsolidated affiliates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is a summary of the statements of income for the investments in unconsolidated affiliates on an aggregated basis for the periods indicated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6"/>
        <w:gridCol w:w="146"/>
        <w:gridCol w:w="211"/>
        <w:gridCol w:w="676"/>
        <w:gridCol w:w="166"/>
        <w:gridCol w:w="146"/>
        <w:gridCol w:w="211"/>
        <w:gridCol w:w="676"/>
        <w:gridCol w:w="166"/>
        <w:gridCol w:w="146"/>
        <w:gridCol w:w="211"/>
        <w:gridCol w:w="781"/>
        <w:gridCol w:w="166"/>
        <w:gridCol w:w="146"/>
        <w:gridCol w:w="211"/>
        <w:gridCol w:w="676"/>
        <w:gridCol w:w="166"/>
        <w:gridCol w:w="146"/>
        <w:gridCol w:w="211"/>
        <w:gridCol w:w="676"/>
        <w:gridCol w:w="146"/>
        <w:gridCol w:w="146"/>
        <w:gridCol w:w="211"/>
        <w:gridCol w:w="781"/>
        <w:gridCol w:w="591"/>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BTDI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b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statement: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12.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Net patient service revenue, Related Party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diagnostic imaging services and radiology services to its JV centers, which are operated through unconsolidated affiliates and, which include CIS, BTDI, SCLTDI and IH-USRS as co-owners. Based on service agreements with these entities, the Company recorded patient revenue of $8.3 million and $8.1 million related to these services during the three months ended March 31, 2026 and 2025, respectively, which is included in Net patient service revenue, related party on the condensed consolidated statements of operations and comprehensive income (loss). The Company has a receivable from JV centers in the amount of $1.9 million and $2.8 million as of March 31, 2026 and December 31, 2025, respectively, which is included in Accounts receivable, related party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 fee revenue and other, Related Party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management and administrative services based on management service agreements including staff and administrative support to its JV centers, which are operated through investments in unconsolidated affiliates. A large portion of this revenue relates to JV centers operated through BTDI, for which the Company recorded revenue of $35.5 million and $34.0 million related to these services during the three months ended March 31, 2026 and 2025, respectively, which is included in Management fee and other revenue, related party on the condensed consolidated statements of operations and comprehensive income (loss). The Company has a receivable from BTDI in the amount of $8.8 million and $9.1 million as of March 31, 2026 and December 31, 2025, respectively, which is included in Accounts receivable, related party on the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all other JV centers, the Company recorded management fees of $14.1 million and $12.8 million, which is included in Management fee and other revenue, related party on the condensed consolidated statements of operations and comprehensive income (loss) during the three months ended March 31, 2026 and 2025, respectively. The Company has a receivable from these JV centers in the amount of $5.2 million and $6.4 million as of March 31, 2026 and December 31, 2025, respectively, which is included in Accounts receivable, related party on the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also provides management services and administrative services based on management service agreements to Atrium Health and its subsidiaries (“Atrium”), which is an investor in Lumexa Imaging and, before the completion of the Company’s IPO, had the right to appoint one LII manager to Holdings LLC’s board of managers, thus resulting in a related party relationship. Atrium Health does not have the right to appoint any directors to the Company’s board of directors and is no longer considered a related party subsequent to the Company’s IPO. Atrium is an investor, along with LII, in CIS. The revenue for such services earned from Atrium was $0.6 million during the three months ended March 31, 2025 and is included in Management fee and other revenue, related party on the condensed consolidated statements of operations and comprehensive income (loss). Atrium owed the Company $0.6 million at December 31, 2025, for such services, which are included in Accounts receivable, related party on the condensed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Unsecured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borrowings under the Amended Credit Agreement are guaranteed by LII and LIOI and each other wholly owned subsidiary of the Company, subject to certain exceptions. In addition, the Amended Credit Agreement allows the Company to guarantee, post collateral (e.g., security deposits) or issue letters of credit to creditors of the VIEs. Refer to Note 6 “Long-Term Debt” for further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13. 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2025, the Company experienced a strategic shift in connection with changes to its executive leadership, including the hiring of a new Chief Executive Officer (“CEO”). As a result, at the beginning of 2025, the Company began providing its operating results to the CEO, who is the Company’s CODM on the basis of a single segment. As the CODM progressed in her role, however, she started reviewing disaggregated financial information based upon two segments (the “June Segment Update”). In response, the Company revised its view of reportable segments based on the CODM’s methods for managing the organization and allocating resources. The June Segment Update has been retroactively presented in the Company’s condensed consolidated financial statements for the three months ended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reviews revenues and Adjusted Earnings Before Interest, Taxes, Depreciation, and Amortization (“EBITDA”) of each segment for the purpose of making operating decisions, assessing financial performance, and deciding how to allocate resources (including employees, property, and financial or capital resources) for each segment predominantly in the annual budget and forecasting process. The CODM considers budget-to-actual variances monthly when making decisions about allocating resources to the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Adjusted EBITDA is defined by the Company as net income (loss) determined in accordance with GAAP, before interest expense, provision for income taxes, depreciation and amortization, unit-based compensation expense and the impact, which may be recurring in nature, of transaction costs, one-time litigation and settlement expenses associated with claims made against the Company, costs associated with strategic initiatives and implementation, goodwill impairment charges, severance and executive recruiting costs, gains or losses on dispositions and other similar or infrequent items (although the Company may not have had such charges in the periods presented). Adjusted EBITDA includes adjustments to reflect the Company’s share of Adjusted EBITDA from unconsolidated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reportable segments are strategic business units that offer different services or structures for delivering outpatient imaging services. They are managed separately because each business requires a different operational strategy for managing performance and allocating resources. The Outpatient segment consists of imaging centers that are owned or operated by the Company (either wholly owned or via unconsolidated affiliate), where the Company performs the imaging scan and provides the radiologist’s interpretation service (i.e., read). Revenues are also earned through the provision of management services to operate the centers for certain of the Company’s unconsolidated affiliate partners. The Professional segment consists of professional interpretation services, where the imaging scan itself is performed at the hospital or point of care and not by the Company or its unconsolidated affiliates. The Company eliminates any intersegment transactions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Historically, corporate overhead expenses were allocated to each segment on the basis of net patient service revenue for each segment. During the third quarter of 2025, the Company changed its approach to allocating certain segment expenses. Physician compensation expense is now allocated based on the effort associated with services performed for each segment. Corporate overhead expenses are allocated to each segment based on estimated relative usage of these overhead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does not report balance sheet information by segment since it is not reviewed by its CODM. The CODM uses consolidated expense information to manage operations, and the CODM is not regularly provided disaggregated expenses by segment.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present revenues and Adjusted EBITDA for each reportable segment for the three months ended March 31, 2026 and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3"/>
        <w:gridCol w:w="346"/>
        <w:gridCol w:w="252"/>
        <w:gridCol w:w="934"/>
        <w:gridCol w:w="146"/>
        <w:gridCol w:w="146"/>
        <w:gridCol w:w="332"/>
        <w:gridCol w:w="1064"/>
        <w:gridCol w:w="146"/>
        <w:gridCol w:w="146"/>
        <w:gridCol w:w="357"/>
        <w:gridCol w:w="1069"/>
        <w:gridCol w:w="166"/>
        <w:gridCol w:w="146"/>
        <w:gridCol w:w="261"/>
        <w:gridCol w:w="970"/>
        <w:gridCol w:w="411"/>
      </w:tblGrid>
      <w:tr>
        <w:trPr/>
        <w:tc>
          <w:tcPr>
            <w:tcW w:w="33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0"/>
        </w:rPr>
        <w:t>LUMEXA IMAGING holdings, inc.</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3"/>
        <w:gridCol w:w="146"/>
        <w:gridCol w:w="252"/>
        <w:gridCol w:w="934"/>
        <w:gridCol w:w="146"/>
        <w:gridCol w:w="146"/>
        <w:gridCol w:w="332"/>
        <w:gridCol w:w="1064"/>
        <w:gridCol w:w="146"/>
        <w:gridCol w:w="146"/>
        <w:gridCol w:w="357"/>
        <w:gridCol w:w="1069"/>
        <w:gridCol w:w="166"/>
        <w:gridCol w:w="146"/>
        <w:gridCol w:w="261"/>
        <w:gridCol w:w="970"/>
        <w:gridCol w:w="411"/>
      </w:tblGrid>
      <w:tr>
        <w:trPr/>
        <w:tc>
          <w:tcPr>
            <w:tcW w:w="3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OUTPATIENT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INTERSEGMENT</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w:t>
              <w:br/>
              <w:t>REPORTABLE</w:t>
              <w:br/>
              <w:t>SEGMENTS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for equity in earnings of</w:t>
              <w:br/>
              <w:t>   unconsolidated affiliates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segment items for both segments include certain operating expenses that are not regularly provided to the CODM on a segment basis and that are identifiable with that segment, including general and administrative expenses.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severance and recruiting expenses for executive leadership departures as part of strategic organizational changes.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third-party consulting, implementation and integration expenses incurred as part of the Company’s strategic transformation and optimization initiatives, specifically related to the deployment of a new technology system and labor model, as well as the development, customization and integration of a new enterprise resource planning system.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costs for third-party non-recurring IPO costs, buy-side and sell-side due diligence activities to evaluate and execute potential mergers and acquisitions, integrate acquired businesses and one-time employee retention bonuses related to potential mergers and acquisitions.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litigation and settlement costs for matters not related to core operations.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other costs related to debt financing, certain de novo start-up costs related to outpatient imaging centers and certain exit costs related to closed outpatient imaging centers.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 xml:space="preserve">Adjusts for the Company’s proportional share of depreciation and amortization, interest expense and losses/gains on asset disposals related to unconsolidated affiliates, which are included in equity in earnings from unconsolidated affiliates on the accompanying condensed consolidated statements of operations and comprehensive income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(“MD&amp;A”) is intended to help the reader understand the results of operations and financial condition of Lumexa Imaging. The MD&amp;A is provided as a supplement to, and should be read in conjunction with, our condensed consolidated financial statements and the accompanying notes included in this Quarterly Report on Form 10-Q and with our audited consolidated financial statements and notes thereto included in our Annual Report on Form 10-K, for the year ended December 31, 2025 (our “Annual Report”), filed with the SEC. Some of the information contained in this discussion and analysis, including information with respect to our plans and strategy for our business and related financing, includes forward-looking statements that involve risks and uncertainties. Our actual results could differ materially from the results described in or implied by the forward-looking statements contained in the following MD&amp;A.</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one of the largest national providers of diagnostic imaging services. Our platform is integrated, scalable and has a proven track record of creating value for our stakeholders. As of March 31, 2026, we operated the second largest outpatient imaging center footprint in the United States. It spans 189 centers in 13 states and includes eight joint venture partnerships with health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 of income is fees paid by patients, insurance companies or other payors in exchange for our centers providing imaging studies and radiologists’ interpretations of those studies. We also earn revenue from payors when our radiologists interpret an imaging study performed in another facility, often the imaging department of a hospital. In addition, we earn a monthly fee from centers that we operate, but do not consolidate for accounting purposes, in exchange for managing their operations. We also earn fees from third-party hospitals for providing radiology and administrative support. How these income streams affect our consolidated financial statements depends on whether we consolidate the center generating the fee for accounting purposes. Because our ownership levels and rights vary from center to center, as of March 31, 2026, we consolidated 103 of the 189 centers that we operated and accounted for our investments in the remaining 86 centers under the equity method of accounting. As of March 31, 2025, we consolidated 99 of the 182 centers that we operated and accounted for our investments in the remaining 83 centers under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our outpatient imaging centers in operation and consolidated net patient service revenue for the periods indicated (dollars in thousands): </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11"/>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Centers in operation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Outpatient imaging centers with a health system</w:t>
              <w:br/>
              <w:t>   joint venture partner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outpatient imaging centers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summarizes the centers we operated as of the periods indicated:</w:t>
      </w:r>
    </w:p>
    <w:p>
      <w:pPr>
        <w:pStyle w:val="TextBody"/>
        <w:bidi w:val="0"/>
        <w:spacing w:before="40" w:after="283"/>
        <w:jc w:val="both"/>
        <w:rPr/>
      </w:pPr>
      <w:r>
        <w:rPr/>
        <w:t> </w:t>
      </w:r>
    </w:p>
    <w:tbl>
      <w:tblPr>
        <w:tblW w:w="7210" w:type="dxa"/>
        <w:jc w:val="left"/>
        <w:tblInd w:w="0" w:type="dxa"/>
        <w:tblLayout w:type="fixed"/>
        <w:tblCellMar>
          <w:top w:w="28" w:type="dxa"/>
          <w:left w:w="28" w:type="dxa"/>
          <w:bottom w:w="28" w:type="dxa"/>
          <w:right w:w="28" w:type="dxa"/>
        </w:tblCellMar>
      </w:tblPr>
      <w:tblGrid>
        <w:gridCol w:w="3421"/>
        <w:gridCol w:w="146"/>
        <w:gridCol w:w="270"/>
        <w:gridCol w:w="781"/>
        <w:gridCol w:w="166"/>
        <w:gridCol w:w="146"/>
        <w:gridCol w:w="329"/>
        <w:gridCol w:w="781"/>
        <w:gridCol w:w="166"/>
        <w:gridCol w:w="146"/>
        <w:gridCol w:w="146"/>
        <w:gridCol w:w="421"/>
        <w:gridCol w:w="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Center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 novos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Closed or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 novos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Closed or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Centers,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operations are comprised of two segments for financial reporting purposes, “Outpatient Imaging Centers” and “Professional Services.” For further financial information about our segments, see Note 13 in the notes accompanying our condensed consolidated financial statements included in this Quarterly Report on Form 10-Q.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Factors Affecting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there are several important factors that impact our operating performance and results of operations,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Physician referrals.</w:t>
      </w:r>
      <w:r>
        <w:rPr>
          <w:color w:val="000000"/>
        </w:rPr>
        <w:t xml:space="preserve"> </w:t>
      </w:r>
      <w:r>
        <w:rPr>
          <w:rFonts w:ascii="Times New Roman" w:hAnsi="Times New Roman"/>
          <w:color w:val="000000"/>
          <w:sz w:val="20"/>
        </w:rPr>
        <w:t xml:space="preserve">A significant portion of the services that we perform and the revenue we generate is derived from patient referrals from unaffiliated physicians and other healthcare providers. Because the majority of our routine and advanced imaging volume involves providing non-recurring services to patients, our business depends on continuing to receive new referrals from those physicians and other healthcare providers. Our performance depends on our ability to maintain those referrals and to become and/or remain designated providers under “closed panel” preferred physician organizations or other managed care contracting systems which manage those referrals exclusively to contracted providers. We seek to be the designated provider under those programs and the failure to compete to remain such under those programs and our inability to maintain and increase the number of physician referrals could impact our revenues and operations.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Demand for advanced imaging in our geographies.</w:t>
      </w:r>
      <w:r>
        <w:rPr>
          <w:color w:val="000000"/>
        </w:rPr>
        <w:t xml:space="preserve"> </w:t>
      </w:r>
      <w:r>
        <w:rPr>
          <w:rFonts w:ascii="Times New Roman" w:hAnsi="Times New Roman"/>
          <w:color w:val="000000"/>
          <w:sz w:val="20"/>
        </w:rPr>
        <w:t xml:space="preserve">Our operations and profitability depend in part on our ability to increase the amount of patient volume from advanced imaging scans. According to industry estimates, demand for advanced imaging continues to grow and outpaces routine imaging growth. MRI and CT accounted for 31% of our consolidated imaging volumes and 37% of our system-wide imaging volumes, and 52% of our consolidated revenue and 63% of our system-wide revenues during the three months ended March 31, 2026. MRI and CT accounted for 29% of our consolidated imaging volumes and 36% of our system-wide imaging volumes, and 52% of our consolidated revenue and 62% of our system-wide revenue during the three months ended March 31, 2025. We believe that our centers, equipment, personnel and strategy will enable advanced imaging to continue to increase as a percentage of our imaging volumes and revenues over time.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Favorable and Sustainable Reimbursement</w:t>
      </w:r>
      <w:r>
        <w:rPr>
          <w:rFonts w:ascii="Times New Roman" w:hAnsi="Times New Roman"/>
          <w:color w:val="000000"/>
          <w:sz w:val="20"/>
        </w:rPr>
        <w:t xml:space="preserve">. Our revenues depend on achieving broad coverage and reimbursement for our imaging exams from third-party payors, including both commercial and government payors. Payment from third-party payors differs depending on whether we have entered into a contract with the payor as a “participating provider” or do not have a contract and are considered a “non-participating provider.” Payors will often reimburse non-participating providers, if at all, at a lower rate than participating providers. We operate in geographies with attractive payor dynamics that support sustainable commercial reimbursement. 57% of our consolidated revenue during the three months ended March 31, 2026 came from commercial payors, with government payors making up an incremental 28% and the remaining portion of our consolidated revenue during the three months ended March 31, 2026 coming from self-pay, liens and other payors. 61% of our system-wide revenue during the three months ended March 31, 2026 came from commercial payors, with government payors making up an incremental 23% and the remaining portion of our system-wide revenue during the three months ended March 31, 2026 coming from self-pay, liens and other payors. 57% of our consolidated revenue during the three months ended March 31, 2025 came from commercial payors, with government payors making up an incremental 29% and the remaining portion of our consolidated revenue during the three months ended March 31, 2025 coming from self-pay, liens and other payors. 63% of our system-wide revenue during the three months ended March 31, 2025 came from commercial payors, with government payors making up over 24% and the remaining portion of our system-wide revenue during the three months ended March 31, 2025 coming from self-pay, liens and other payors. We are broadly diversified across over 600 payor contracts and have a dedicated managed care team, focused on securing competitive reimbursement rates and contract terms for our centers using a data-driven approach. If we are not able to obtain or maintain coverage and adequate reimbursement from commercial payors, we may not be able to effectively increase our patient volume and revenue as expected. Additionally, retrospective reimbursement adjustments can negatively impact our revenue and cause our financial results to fluctuate, though we have not experienced any material adjustments of that nature.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Investment and implementation of technology</w:t>
      </w:r>
      <w:r>
        <w:rPr>
          <w:rFonts w:ascii="Times New Roman" w:hAnsi="Times New Roman"/>
          <w:color w:val="000000"/>
          <w:sz w:val="20"/>
        </w:rPr>
        <w:t xml:space="preserve">. Our integrated technology system supports our current day-to-day operations and is the foundation of our continued deployment of third-party artificial intelligence (“AI”) tools. We intend to continue investing in these technologies and believe that using third-party AI allows us to benefit from the most advanced solutions in the market. Implementation of AI can enable faster scan times, improved clinical efficiency and faster patient scheduling and communication of results. Furthermore, back-office tasks can use AI to self-learn and self-manage processes, increase collections and reduce labor expenses, driving greater profitability.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Continuing growth through de novo expansion, joint ventures and acquisitions</w:t>
      </w:r>
      <w:r>
        <w:rPr>
          <w:rFonts w:ascii="Times New Roman" w:hAnsi="Times New Roman"/>
          <w:color w:val="000000"/>
          <w:sz w:val="20"/>
        </w:rPr>
        <w:t xml:space="preserve">. We believe that our expansion strategy to establish new de novo centers, continue to partner with health systems in joint ventures and complete new acquisitions will continue to drive greater revenues. Our failure to continue to expand could have an adverse effect on our revenue growth.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Seasonality</w:t>
      </w:r>
      <w:r>
        <w:rPr>
          <w:rFonts w:ascii="Times New Roman" w:hAnsi="Times New Roman"/>
          <w:color w:val="000000"/>
          <w:sz w:val="20"/>
        </w:rPr>
        <w:t xml:space="preserve">. Our business exhibits seasonal fluctuations. The first quarter of each year generally sees the lowest procedure volumes and revenue levels. We believe this trend is driven by two factors. First, many patients participate in high-deductible health plans. As these deductibles reset in January, patients tend to reduce their use of medical services during the first quarter to avoid substantial out-of-pocket expenditures. Second, our outpatient imaging centers are sometimes affected by severe winter weather conditions, with snowstorms and other adverse weather leading to patient appointment cancellations and occasional center closures.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each of these factors present significant opportunities for us, they are not the only factors that may adversely affect our revenues and they also pose significant risks and challenges that we must address. See the section titled “Risk Factors” for more information. </w:t>
      </w:r>
    </w:p>
    <w:p>
      <w:pPr>
        <w:pStyle w:val="TextBody"/>
        <w:bidi w:val="0"/>
        <w:spacing w:before="360" w:after="283"/>
        <w:jc w:val="both"/>
        <w:rPr>
          <w:rFonts w:ascii="Times New Roman" w:hAnsi="Times New Roman"/>
          <w:sz w:val="20"/>
        </w:rPr>
      </w:pPr>
      <w:r>
        <w:rPr>
          <w:rFonts w:ascii="Times New Roman" w:hAnsi="Times New Roman"/>
          <w:b/>
          <w:color w:val="000000"/>
          <w:sz w:val="20"/>
        </w:rPr>
        <w:t>Our Business and Performance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deliver high-quality, convenient and low-cost care through our expansive network of outpatient imaging centers, meeting the needs of our key stakeholders—patients, referring physicians, health system joint venture partners and payors. Our accessible locations, flexible scheduling options and extended hours make it easier for patients to receive the imaging services they need. Referring physicians choose our centers for their patients’ imaging needs because of our high-quality care, subspecialized radiologists, skilled technologists and modern equipment and technology. Our health system joint venture partners benefit from providing patients access to our high-quality, lower cost, conveniently located centers to reduce hospital backlogs and the time required to diagnose and begin treatment. Our centers also benefit payors by reducing the overall cost of delivering diagnostic imaging to their members.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outpatient imaging centers, some of which we wholly own and others that we own in partnership with health system joint ventures. As of March 31, 2026, we managed 83 of our 86 outpatient imaging centers owned by joint ventures on a day-to-day basis through management services contracts. As of March 31, 2025, we managed 80 of our 83 outpatient imaging centers owned by joint ventures on a day-to-day basis through management services contracts. Our role as an owner and day-to-day manager provides us with significant influence over those centers’ operations. This influence does not represent control of the center, so we account for our investment in each such center under the equity method of accounting as an unconsolidated affiliate. We controlled the other 103 and 99 centers at March 31, 2026 and 2025, respectively, and accounted for these investments as consolidated subsidiaries. For consolidated subsidiaries, our condensed consolidated statements of operations and comprehensive income (loss) reflect, within each revenue and expense line item, 100% of the revenues and expenses of each such subsidiary, after the elimination of intercompany amounts. Our condensed consolidated statements of operations and comprehensive income (loss) reflect our earnings from our unconsolidated affiliates in only two line items: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equity in earnings of unconsolidated affiliates</w:t>
      </w:r>
      <w:r>
        <w:rPr>
          <w:rFonts w:ascii="Times New Roman" w:hAnsi="Times New Roman"/>
          <w:color w:val="000000"/>
          <w:sz w:val="20"/>
        </w:rPr>
        <w:t xml:space="preserve">: our share of the net income or loss of each center that is an unconsolidated affiliate, which is based on that center’s net income or loss and the percentage of that affiliate’s outstanding equity interests owned by us;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management fee and other revenues, related party</w:t>
      </w:r>
      <w:r>
        <w:rPr>
          <w:rFonts w:ascii="Times New Roman" w:hAnsi="Times New Roman"/>
          <w:color w:val="000000"/>
          <w:sz w:val="20"/>
        </w:rPr>
        <w:t xml:space="preserve">: income we primarily earn in exchange for managing the day-to-day operations of each center that is an unconsolidated affiliate, usually quantified as a percentage of that center’s net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summary, our operating income is driven by the performance of the outpatient imaging centers and physician practices we operate and by our ownership interest in our outpatient imaging centers, but our individual revenue and expense line items only relate to the consolidated businesses. This results in trends in our operating income that do not always correspond with changes in our individual revenue and expense line items. Accordingly, we supplementally review several types of information in order to monitor and analyze our results of operations,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operations of our unconsolidated affiliates;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average ownership share in the outpatient imaging centers we operate;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facility operating indicators irrespective of consolidation treatment, such as system-wide revenue growth and same-center revenue growth.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(in thousands)</w:t>
      </w:r>
    </w:p>
    <w:p>
      <w:pPr>
        <w:pStyle w:val="TextBody"/>
        <w:bidi w:val="0"/>
        <w:jc w:val="left"/>
        <w:rPr/>
      </w:pPr>
      <w:r>
        <w:rPr/>
        <w:t> </w:t>
      </w:r>
    </w:p>
    <w:tbl>
      <w:tblPr>
        <w:tblW w:w="8717" w:type="dxa"/>
        <w:jc w:val="left"/>
        <w:tblInd w:w="0" w:type="dxa"/>
        <w:tblLayout w:type="fixed"/>
        <w:tblCellMar>
          <w:top w:w="28" w:type="dxa"/>
          <w:left w:w="28" w:type="dxa"/>
          <w:bottom w:w="28" w:type="dxa"/>
          <w:right w:w="28" w:type="dxa"/>
        </w:tblCellMar>
      </w:tblPr>
      <w:tblGrid>
        <w:gridCol w:w="4401"/>
        <w:gridCol w:w="146"/>
        <w:gridCol w:w="211"/>
        <w:gridCol w:w="781"/>
        <w:gridCol w:w="146"/>
        <w:gridCol w:w="146"/>
        <w:gridCol w:w="211"/>
        <w:gridCol w:w="781"/>
        <w:gridCol w:w="166"/>
        <w:gridCol w:w="146"/>
        <w:gridCol w:w="220"/>
        <w:gridCol w:w="771"/>
        <w:gridCol w:w="5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 and other revenue, related</w:t>
              <w:br/>
              <w:t>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additional information about our management fee and other revenues for the periods indicated (in thousands):</w:t>
      </w:r>
    </w:p>
    <w:p>
      <w:pPr>
        <w:pStyle w:val="TextBody"/>
        <w:bidi w:val="0"/>
        <w:jc w:val="left"/>
        <w:rPr/>
      </w:pPr>
      <w:r>
        <w:rPr/>
        <w:t> </w:t>
      </w:r>
    </w:p>
    <w:tbl>
      <w:tblPr>
        <w:tblW w:w="7216" w:type="dxa"/>
        <w:jc w:val="left"/>
        <w:tblInd w:w="0" w:type="dxa"/>
        <w:tblLayout w:type="fixed"/>
        <w:tblCellMar>
          <w:top w:w="28" w:type="dxa"/>
          <w:left w:w="28" w:type="dxa"/>
          <w:bottom w:w="28" w:type="dxa"/>
          <w:right w:w="28" w:type="dxa"/>
        </w:tblCellMar>
      </w:tblPr>
      <w:tblGrid>
        <w:gridCol w:w="4611"/>
        <w:gridCol w:w="146"/>
        <w:gridCol w:w="211"/>
        <w:gridCol w:w="677"/>
        <w:gridCol w:w="146"/>
        <w:gridCol w:w="146"/>
        <w:gridCol w:w="211"/>
        <w:gridCol w:w="677"/>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management fee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Fees for managing joint ventured outpatient centers</w:t>
              <w:br/>
              <w:t>   and other third-party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margin pass-throughs of employee, IT and other</w:t>
              <w:br/>
              <w:t>   center level costs paid by Lumexa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management fee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summarizes our GAAP condensed consolidated statements of operations and comprehensive income (loss) items expressed as a percentage of revenue for the periods indicated: </w:t>
      </w:r>
    </w:p>
    <w:p>
      <w:pPr>
        <w:pStyle w:val="TextBody"/>
        <w:bidi w:val="0"/>
        <w:jc w:val="both"/>
        <w:rPr/>
      </w:pPr>
      <w:r>
        <w:rPr/>
        <w:t> </w:t>
      </w:r>
    </w:p>
    <w:tbl>
      <w:tblPr>
        <w:tblW w:w="7006" w:type="dxa"/>
        <w:jc w:val="left"/>
        <w:tblInd w:w="0" w:type="dxa"/>
        <w:tblLayout w:type="fixed"/>
        <w:tblCellMar>
          <w:top w:w="28" w:type="dxa"/>
          <w:left w:w="28" w:type="dxa"/>
          <w:bottom w:w="28" w:type="dxa"/>
          <w:right w:w="28" w:type="dxa"/>
        </w:tblCellMar>
      </w:tblPr>
      <w:tblGrid>
        <w:gridCol w:w="4401"/>
        <w:gridCol w:w="146"/>
        <w:gridCol w:w="163"/>
        <w:gridCol w:w="638"/>
        <w:gridCol w:w="303"/>
        <w:gridCol w:w="163"/>
        <w:gridCol w:w="163"/>
        <w:gridCol w:w="638"/>
        <w:gridCol w:w="39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operations, excluding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business model of partnering with health system joint venture partners results in our accounting for 86 (as of March 31, 2026) and 83 (as of March 31, 2025) of our outpatient imaging centers under the equity method of accounting rather than consolidating their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share of the net income of unconsolidated affiliates is shown in our condensed consolidated statements of operations and comprehensive income (loss) on a net basis as “equity in earnings of unconsolidated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provide other information regarding our unconsolidated affiliates for the periods indicated (dollars in thousands): </w:t>
      </w:r>
    </w:p>
    <w:p>
      <w:pPr>
        <w:pStyle w:val="TextBody"/>
        <w:bidi w:val="0"/>
        <w:jc w:val="left"/>
        <w:rPr/>
      </w:pPr>
      <w:r>
        <w:rPr/>
        <w:t> </w:t>
      </w:r>
    </w:p>
    <w:tbl>
      <w:tblPr>
        <w:tblW w:w="7364" w:type="dxa"/>
        <w:jc w:val="left"/>
        <w:tblInd w:w="0" w:type="dxa"/>
        <w:tblLayout w:type="fixed"/>
        <w:tblCellMar>
          <w:top w:w="28" w:type="dxa"/>
          <w:left w:w="28" w:type="dxa"/>
          <w:bottom w:w="28" w:type="dxa"/>
          <w:right w:w="28" w:type="dxa"/>
        </w:tblCellMar>
      </w:tblPr>
      <w:tblGrid>
        <w:gridCol w:w="4711"/>
        <w:gridCol w:w="146"/>
        <w:gridCol w:w="211"/>
        <w:gridCol w:w="676"/>
        <w:gridCol w:w="271"/>
        <w:gridCol w:w="146"/>
        <w:gridCol w:w="211"/>
        <w:gridCol w:w="676"/>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Lumexa Imaging’s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Lumexa Imaging’s equity in earnings of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Lumexa Imaging’s imputed weighted average ownership</w:t>
              <w:br/>
              <w:t>   percentages based on unconsolidated affiliates’ net</w:t>
              <w:br/>
              <w:t>   income or loss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at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outpatient imaging centers operated at</w:t>
              <w:br/>
              <w: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Our weighted average percentage ownership in our unconsolidated affiliates is calculated as our equity in earnings of unconsolidated affiliates divided by the total net income or loss of unconsolidated affiliates for each respective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14" w:type="dxa"/>
        <w:jc w:val="left"/>
        <w:tblInd w:w="0" w:type="dxa"/>
        <w:tblLayout w:type="fixed"/>
        <w:tblCellMar>
          <w:top w:w="28" w:type="dxa"/>
          <w:left w:w="28" w:type="dxa"/>
          <w:bottom w:w="28" w:type="dxa"/>
          <w:right w:w="28" w:type="dxa"/>
        </w:tblCellMar>
      </w:tblPr>
      <w:tblGrid>
        <w:gridCol w:w="4701"/>
        <w:gridCol w:w="146"/>
        <w:gridCol w:w="211"/>
        <w:gridCol w:w="781"/>
        <w:gridCol w:w="146"/>
        <w:gridCol w:w="146"/>
        <w:gridCol w:w="211"/>
        <w:gridCol w:w="781"/>
        <w:gridCol w:w="391"/>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operating expenses, excluding</w:t>
              <w:b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operating</w:t>
              <w:br/>
              <w:t>   expenses,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Unconsolidated affiliates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BTDI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unconsolidated affiliates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unconsolidated affiliates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of our unconsolidated affiliates, BTDI, is considered significant to our consolidated financial statements under Regulation S-X. As a result, the audited consolidated financial statements and related notes of BTDI were included in Item 8 of our Annual Report on Form 10-K for the year ended December 31, 2025.</w:t>
      </w:r>
    </w:p>
    <w:p>
      <w:pPr>
        <w:pStyle w:val="TextBody"/>
        <w:bidi w:val="0"/>
        <w:spacing w:before="36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our earnings from an outpatient imaging center, whether consolidated or accounted for using the equity method of accounting, are driven by the same factors: the center’s underlying profits and revenue and our ownership percentage in that center. Accordingly, to assess our overall operating results, we often utilize system-wide and same-center measures, which include both consolidated centers and unconsolidated affiliates. Our consolidated revenue growth and system-wide revenue growth were 3.1% and 4.0%, respectively, between the three months ended March 31, 2026 and the three months ended March 31, 2025. Our system-wide revenue includes all centers and physician practices that we operate; our GAAP revenue (or consolidated revenue) only includes consolidated centers, which represented 54% of our centers as of both March 31, 2026 and March 31, 2025, respectively, and all physician practices that we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increased by $4.8 million, or 2.6%, for the three months ended March 31, 2026, as compared to the three months ended March 31, 2025. The increase was largely due to an increase in consolidated same-center revenues of 2.8%, which was driven by volume growth of 0.5% and an increase in net revenue per scan of 2.3%. Net patient service revenue also increased $2.5 million related to ten consolidated de novo centers added during 2024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patient service revenue, related party increased by $0.2 million, or 3.0%, for the three months ended March 31, 2026, as compared to the three months ended March 31, 2025. The increase was primarily due to growth of our teleradiology group that completes reads for the unconsolidated BTDI centers.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fee and other revenue increased by $0.4 million, or 6.7%, for the three months ended March 31, 2026, as compared to the three months ended March 31, 2025. The increase was primarily due to an increase in stipend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fee and other revenue, related party increased by $2.2 million, or 4.6%, for the three months ended March 31, 2026, as compared to the three months ended March 31, 2025. The increase was primarily due to increased pass-through costs at BTDI related to information technology and leased employees and growth in the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operations, excluding depreciation and amortization, is comprised of costs incurred to operate outpatient imaging centers and physician practices, primarily salaries, wages and benefits for clinicians and direct patient support personnel, occupancy costs, such as rent and utilities, medical supplies and other operating expenses. Cost of operations, excluding depreciation and amortization increased by $9.4 million, or 4.5%, for the three months ended March 31, 2026, as compared to the three months ended March 31, 2025, driven by increased volumes. The increase was primarily due to a $5.1 million increase in salaries and wages, a $1.0 million increase in medical supplies and a $3.0 million increase in physician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and administrative expenses include salaries, wages and benefits of executive leadership, finance and accounting, human resources, legal, information technology, professional fees, transaction costs, severance and other overhead and corporate expenses. General and administrative expenses increased by $2.8 million, or 16.3%, for the three months ended March 31, 2026, as compared to the three months ended March 31, 2025. The increase is primarily due to an increase in stock-based compensation as a result of resetting some of our legacy stock-based compensation plans after our IPO, offset by reductions in transaction related costs. We expect general and administrative expenses to increase in the near term as a result of operating as a public company. That increase in expenses will be associated with compliance with the rules and regulations of the SEC, and an increase in legal, audit, insurance, investor relations, professional services and other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Depreciation and amortization expense consists of depreciation of property and equipment assets (medical office equipment, computer and software, and furniture and fixtures) and amortization of acquired intangible assets, such as facility contracts and trade names. Depreciation and amortization expense increased by $0.9 million, or 9.6%, for the three months ended March 31, 2026, as compared to the three months ended March 31, 2025. The increase is primarily driven by additions to property and equipment during the period.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by $13.5 million, or 45.3%, for the three months ended March 31, 2026, as compared to the three months ended March 31, 2025, primarily due to our refinancing of our Existing Credit Agreement (as further described below) in December 2025. </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an income tax provision of $1.4 million and $3.4 million for the three months ended March 31, 2026 and 2025, respectively. Despite having a pretax loss in 2025, the impact of non-deductible stock-based compensation and the increase in the valuation allowance recorded against certain of our deferred tax assets resulted in tax expense for the period. The primary items impacting tax expense in 2026 are non-deductible compensation and the change in the valuation allowance.</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Operations—Segment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organize our business into two reportable segments: (1) outpatient imaging centers and (2) professional services. This segment structure reflects the financial information and reports used by our management to make decisions regarding our business, including resource allocation and performance assessments.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Outpatient Imaging Center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outpatient imaging center segment generates revenue by performing imaging studies and providing radiologists’ interpretations of those studies. The following table shows our outpatient imaging center segment’s revenue and Adjusted EBITDA for the periods indicated (in thousands): </w:t>
      </w:r>
    </w:p>
    <w:p>
      <w:pPr>
        <w:pStyle w:val="TextBody"/>
        <w:bidi w:val="0"/>
        <w:jc w:val="left"/>
        <w:rPr/>
      </w:pPr>
      <w:r>
        <w:rPr/>
        <w:t> </w:t>
      </w:r>
    </w:p>
    <w:tbl>
      <w:tblPr>
        <w:tblW w:w="8400"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11"/>
        <w:gridCol w:w="781"/>
        <w:gridCol w:w="146"/>
        <w:gridCol w:w="146"/>
        <w:gridCol w:w="244"/>
        <w:gridCol w:w="732"/>
        <w:gridCol w:w="166"/>
        <w:gridCol w:w="146"/>
        <w:gridCol w:w="270"/>
        <w:gridCol w:w="781"/>
        <w:gridCol w:w="37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shows the outpatient imaging center segment’s system-wide same-center growth rates for the following metrics for the three months ended March 31, 2026, as compared to the three months ended March 31, 2025: </w:t>
      </w:r>
    </w:p>
    <w:p>
      <w:pPr>
        <w:pStyle w:val="TextBody"/>
        <w:bidi w:val="0"/>
        <w:jc w:val="left"/>
        <w:rPr/>
      </w:pPr>
      <w:r>
        <w:rPr/>
        <w:t> </w:t>
      </w:r>
    </w:p>
    <w:tbl>
      <w:tblPr>
        <w:tblW w:w="4263" w:type="dxa"/>
        <w:jc w:val="left"/>
        <w:tblInd w:w="0" w:type="dxa"/>
        <w:tblLayout w:type="fixed"/>
        <w:tblCellMar>
          <w:top w:w="28" w:type="dxa"/>
          <w:left w:w="28" w:type="dxa"/>
          <w:bottom w:w="28" w:type="dxa"/>
          <w:right w:w="28" w:type="dxa"/>
        </w:tblCellMar>
      </w:tblPr>
      <w:tblGrid>
        <w:gridCol w:w="2001"/>
        <w:gridCol w:w="146"/>
        <w:gridCol w:w="2116"/>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2.8%</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1.7%</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 per scan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outpatient imaging center segment’s operating results for the three months ended March 31, 2026 reflect a 2.8% system-wide same-center revenue growth. The segment’s consolidated GAAP revenue growth for the three months ended March 31, 2026 was 3.9%.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patient service revenue for the outpatient imaging center segment increased by $4.7 million, or 3.5%, for the three months ended March 31, 2026, as compared to the three months ended March 31, 2025, primarily driven by an increase in consolidated same-center revenues of 2.8%, which was comprised of volume growth of 0.5% and an increase in net revenue per scan of 2.3%. Net patient service revenue for the outpatient imaging center segment also increased $2.5 million related to ten consolidated de novo centers added during 2024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fee and other revenue for the outpatient imaging center segment increased by $2.4 million, or 5.1%, for the three months ended March 31, 2026, as compared to the three months ended March 31, 2025. The increase was primarily due to increased pass-through costs at BTDI related to information technology and leased employees and improved financial performance. Our management fees are usually quantified as a percentage of the unconsolidated affiliate’s net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further discussed below, Adjusted EBITDA removes non-cash and non-recurring charges that occur in the affected period and provides a basis for management to measure our core financial performance against other periods. Adjusted EBITDA for the outpatient imaging center segment decreased by $3.4 million, or 8.2%, for the three months ended March 31, 2026, as compared to the three months ended March 31, 2025. The decrease in Adjusted EBITDA was driven by an increase in salaries and wages and medical supplies.</w:t>
      </w:r>
    </w:p>
    <w:p>
      <w:pPr>
        <w:pStyle w:val="TextBody"/>
        <w:bidi w:val="0"/>
        <w:spacing w:before="360" w:after="283"/>
        <w:jc w:val="both"/>
        <w:rPr>
          <w:rFonts w:ascii="Times New Roman" w:hAnsi="Times New Roman"/>
          <w:sz w:val="20"/>
        </w:rPr>
      </w:pPr>
      <w:r>
        <w:rPr>
          <w:rFonts w:ascii="Times New Roman" w:hAnsi="Times New Roman"/>
          <w:b/>
          <w:i/>
          <w:color w:val="000000"/>
          <w:sz w:val="20"/>
        </w:rPr>
        <w:t>Professional Services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professional services segment earns revenue solely from the interpretation of imaging studies. The related imaging studies are performed by other parties, primarily the imaging department of a hospital with whom we have a broader strategy that includes our outpatient business, such as through a joint venture for outpatient centers that we operate. The following table shows our professional services segment’s revenue and Adjusted EBITDA for the periods indicated (in thousands): </w:t>
      </w:r>
    </w:p>
    <w:p>
      <w:pPr>
        <w:pStyle w:val="TextBody"/>
        <w:bidi w:val="0"/>
        <w:jc w:val="left"/>
        <w:rPr/>
      </w:pPr>
      <w:r>
        <w:rPr/>
        <w:t> </w:t>
      </w:r>
    </w:p>
    <w:tbl>
      <w:tblPr>
        <w:tblW w:w="8112" w:type="dxa"/>
        <w:jc w:val="left"/>
        <w:tblInd w:w="0" w:type="dxa"/>
        <w:tblLayout w:type="fixed"/>
        <w:tblCellMar>
          <w:top w:w="28" w:type="dxa"/>
          <w:left w:w="28" w:type="dxa"/>
          <w:bottom w:w="28" w:type="dxa"/>
          <w:right w:w="28" w:type="dxa"/>
        </w:tblCellMar>
      </w:tblPr>
      <w:tblGrid>
        <w:gridCol w:w="2971"/>
        <w:gridCol w:w="146"/>
        <w:gridCol w:w="211"/>
        <w:gridCol w:w="677"/>
        <w:gridCol w:w="146"/>
        <w:gridCol w:w="146"/>
        <w:gridCol w:w="211"/>
        <w:gridCol w:w="677"/>
        <w:gridCol w:w="146"/>
        <w:gridCol w:w="146"/>
        <w:gridCol w:w="263"/>
        <w:gridCol w:w="713"/>
        <w:gridCol w:w="146"/>
        <w:gridCol w:w="146"/>
        <w:gridCol w:w="250"/>
        <w:gridCol w:w="801"/>
        <w:gridCol w:w="31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following table shows the professional services segment’s consolidated same-practice growth rates for the following metrics for the three months ended March 31, 2026, as compared to the three months ended March 31, 2025: </w:t>
      </w:r>
    </w:p>
    <w:p>
      <w:pPr>
        <w:pStyle w:val="TextBody"/>
        <w:bidi w:val="0"/>
        <w:jc w:val="left"/>
        <w:rPr/>
      </w:pPr>
      <w:r>
        <w:rPr/>
        <w:t> </w:t>
      </w:r>
    </w:p>
    <w:tbl>
      <w:tblPr>
        <w:tblW w:w="4102" w:type="dxa"/>
        <w:jc w:val="left"/>
        <w:tblInd w:w="0" w:type="dxa"/>
        <w:tblLayout w:type="fixed"/>
        <w:tblCellMar>
          <w:top w:w="28" w:type="dxa"/>
          <w:left w:w="28" w:type="dxa"/>
          <w:bottom w:w="28" w:type="dxa"/>
          <w:right w:w="28" w:type="dxa"/>
        </w:tblCellMar>
      </w:tblPr>
      <w:tblGrid>
        <w:gridCol w:w="1986"/>
        <w:gridCol w:w="2116"/>
      </w:tblGrid>
      <w:tr>
        <w:trPr/>
        <w:tc>
          <w:tcPr>
            <w:tcW w:w="198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4.4%</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w:t>
            </w:r>
          </w:p>
        </w:tc>
        <w:tc>
          <w:tcPr>
            <w:tcW w:w="2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2.3%</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 per read</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professional services segment’s operating results for the three months ended March 31, 2026, reflect an 4.4% consolidated professional same-practice revenue growth. The segment’s consolidated GAAP revenue growth for the three months ended March 31, 2026 was 3.4%.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patient service revenue for the professional services segment increased by $2.2 million, or 3.6%, for the three months ended March 31, 2026, as compared to the three months ended March 31, 2025 due to year-over-year increase in volumes.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further discussed below, Adjusted EBITDA removes non-cash and non-recurring charges that occur in the affected period and provides a basis for management to measure our core financial performance against other periods. Adjusted EBITDA for the professional services segment increased by $3.6 million, or 39.8%, for the three months ended March 31, 2026, as compared to the three months ended March 31, 2025. </w:t>
      </w:r>
    </w:p>
    <w:p>
      <w:pPr>
        <w:pStyle w:val="TextBody"/>
        <w:bidi w:val="0"/>
        <w:spacing w:before="360" w:after="283"/>
        <w:jc w:val="both"/>
        <w:rPr>
          <w:rFonts w:ascii="Times New Roman" w:hAnsi="Times New Roman"/>
          <w:sz w:val="20"/>
        </w:rPr>
      </w:pPr>
      <w:r>
        <w:rPr>
          <w:rFonts w:ascii="Times New Roman" w:hAnsi="Times New Roman"/>
          <w:b/>
          <w:color w:val="000000"/>
          <w:sz w:val="20"/>
        </w:rPr>
        <w:t>Key Operating Metrics and Non-GAAP Financial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regularly review key operating metrics and certain non-GAAP financial measures, including Adjusted EBITDA and Adjusted EBITDA margin, to evaluate our business, measure our performance, identify trends in our business, prepare financial projections and make strategic decisions. Given the number of unconsolidated affiliates we have, to analyze our results of operations, we also measure and track certain supplemental operating metrics that include both consolidated and unconsolidated affiliates. Although revenue of our unconsolidated affiliates is not recorded as revenue in our consolidated financial statements, we believe it is important in understanding our financial performance because that revenue is the basis for calculating our management services revenue and, together with the expenses of our unconsolidated affiliates, is the basis for our equity in earnings of unconsolidated affiliates. In addition, we measure volume, revenue and growth rates (both consolidated and unconsolidated) for the centers that were operational in both the current and prior year periods, a group we refer to as “same-center.”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information for our unconsolidated affiliates is presented in this Quarterly Report on Form 10-Q on an aggregated basis as part of our system-wide key operating metrics. Not all of the financial information for our unconsolidated affiliates is prepared by the Company’s management or audited. We believe including our unconsolidated affiliates in the Company’s system-wide financial information is useful for investors to understand the size and performance of our joint venture relationships. However, the system-wide financial information presented in this Quarterly Report on Form 10-Q does not adjust for our economic ownership percentage in its joint ventures.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summarize our key operating metrics for the three months ended March 31, 2026, as compared to the three months ended March 31, 2025: </w:t>
      </w:r>
    </w:p>
    <w:p>
      <w:pPr>
        <w:pStyle w:val="TextBody"/>
        <w:bidi w:val="0"/>
        <w:jc w:val="left"/>
        <w:rPr/>
      </w:pPr>
      <w:r>
        <w:rPr/>
        <w:t> </w:t>
      </w:r>
    </w:p>
    <w:tbl>
      <w:tblPr>
        <w:tblW w:w="6358" w:type="dxa"/>
        <w:jc w:val="left"/>
        <w:tblInd w:w="0" w:type="dxa"/>
        <w:tblLayout w:type="fixed"/>
        <w:tblCellMar>
          <w:top w:w="28" w:type="dxa"/>
          <w:left w:w="28" w:type="dxa"/>
          <w:bottom w:w="28" w:type="dxa"/>
          <w:right w:w="28" w:type="dxa"/>
        </w:tblCellMar>
      </w:tblPr>
      <w:tblGrid>
        <w:gridCol w:w="4096"/>
        <w:gridCol w:w="146"/>
        <w:gridCol w:w="211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revenue growth</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revenue</w:t>
              <w:br/>
              <w:t>   growth</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volume</w:t>
              <w:br/>
              <w:t>   growth</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outpatient same-center net revenue</w:t>
              <w:br/>
              <w:t>   per scan growth</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revenue</w:t>
              <w:br/>
              <w:t>   growth</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volume</w:t>
              <w:br/>
              <w:t>   growth</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 professional same-practice net</w:t>
              <w:br/>
              <w:t>   revenue per read growth</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bl>
    <w:p>
      <w:pPr>
        <w:pStyle w:val="TextBody"/>
        <w:bidi w:val="0"/>
        <w:jc w:val="left"/>
        <w:rPr/>
      </w:pPr>
      <w:r>
        <w:rPr/>
        <w:t> </w:t>
      </w:r>
    </w:p>
    <w:tbl>
      <w:tblPr>
        <w:tblW w:w="6152" w:type="dxa"/>
        <w:jc w:val="left"/>
        <w:tblInd w:w="0" w:type="dxa"/>
        <w:tblLayout w:type="fixed"/>
        <w:tblCellMar>
          <w:top w:w="28" w:type="dxa"/>
          <w:left w:w="28" w:type="dxa"/>
          <w:bottom w:w="28" w:type="dxa"/>
          <w:right w:w="28" w:type="dxa"/>
        </w:tblCellMar>
      </w:tblPr>
      <w:tblGrid>
        <w:gridCol w:w="4036"/>
        <w:gridCol w:w="2116"/>
      </w:tblGrid>
      <w:tr>
        <w:trPr/>
        <w:tc>
          <w:tcPr>
            <w:tcW w:w="403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revenue growth</w:t>
            </w:r>
            <w:r>
              <w:rPr>
                <w:rFonts w:ascii="Times New Roman" w:hAnsi="Times New Roman"/>
                <w:color w:val="000000"/>
                <w:sz w:val="13"/>
              </w:rPr>
              <w:t>(8)</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revenue</w:t>
              <w:br/>
              <w:t>   growth</w:t>
            </w:r>
            <w:r>
              <w:rPr>
                <w:rFonts w:ascii="Times New Roman" w:hAnsi="Times New Roman"/>
                <w:color w:val="000000"/>
                <w:sz w:val="13"/>
              </w:rPr>
              <w:t>(9)</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volume</w:t>
              <w:br/>
              <w:t>   growth</w:t>
            </w:r>
            <w:r>
              <w:rPr>
                <w:rFonts w:ascii="Times New Roman" w:hAnsi="Times New Roman"/>
                <w:color w:val="000000"/>
                <w:sz w:val="13"/>
              </w:rPr>
              <w:t>(10)</w:t>
            </w:r>
          </w:p>
        </w:tc>
        <w:tc>
          <w:tcPr>
            <w:tcW w:w="21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System-wide outpatient same-center net revenue</w:t>
              <w:br/>
              <w:t>   per scan growth</w:t>
            </w:r>
            <w:r>
              <w:rPr>
                <w:rFonts w:ascii="Times New Roman" w:hAnsi="Times New Roman"/>
                <w:color w:val="000000"/>
                <w:sz w:val="13"/>
              </w:rPr>
              <w:t>(11)</w:t>
            </w:r>
          </w:p>
        </w:tc>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Notes (1)-(11): “Outpatient same-center” metrics refer to services performed at sites we operate and which have been in operation for more than one year, excluding new acquisitions or divested outpatient imaging centers, and consist of a scan of the patient and a read, for which services we issue a global bill. “Professional same-practice” metrics refer to services performed by practices that have been in operation for more than one year, excluding new or terminated practice relationships, and consist of reads by our radiologists, for which we issue a bill solely for the read. “Professional” services are most often performed in the imaging department of a hospital. See the definitions below for an explanation of calculations of Consolidated revenue growth, Consolidated outpatient same-center revenue growth, Consolidated outpatient same-center volume growth, Consolidated outpatient same-center net revenue per scan growth, Consolidated professional same-practice revenue growth, Consolidated professional same-practice volume growth, Consolidated professional same-practice net revenue per read growth, System-wide revenue growth, System-wide outpatient same-center revenue growth, System-wide outpatient same-center volume growth and System-wide outpatient same-center net revenue per scan growth.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non-GAAP financial metrics for the periods indicated: </w:t>
      </w:r>
    </w:p>
    <w:p>
      <w:pPr>
        <w:pStyle w:val="TextBody"/>
        <w:bidi w:val="0"/>
        <w:jc w:val="left"/>
        <w:rPr/>
      </w:pPr>
      <w:r>
        <w:rPr/>
        <w:t> </w:t>
      </w:r>
    </w:p>
    <w:tbl>
      <w:tblPr>
        <w:tblW w:w="5744" w:type="dxa"/>
        <w:jc w:val="left"/>
        <w:tblInd w:w="0" w:type="dxa"/>
        <w:tblLayout w:type="fixed"/>
        <w:tblCellMar>
          <w:top w:w="28" w:type="dxa"/>
          <w:left w:w="28" w:type="dxa"/>
          <w:bottom w:w="28" w:type="dxa"/>
          <w:right w:w="28" w:type="dxa"/>
        </w:tblCellMar>
      </w:tblPr>
      <w:tblGrid>
        <w:gridCol w:w="3091"/>
        <w:gridCol w:w="146"/>
        <w:gridCol w:w="211"/>
        <w:gridCol w:w="676"/>
        <w:gridCol w:w="271"/>
        <w:gridCol w:w="146"/>
        <w:gridCol w:w="211"/>
        <w:gridCol w:w="67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unless otherwise indicated)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Refer to “—Non-GAAP Financial Measures” below for details on how Adjusted EBITDA and Adjusted EBITDA margin are defined and reconciled to the most directly comparable financial measure calculated and presented in accordance with GAAP, which is net income (loss). </w:t>
      </w:r>
    </w:p>
    <w:p>
      <w:pPr>
        <w:pStyle w:val="TextBody"/>
        <w:bidi w:val="0"/>
        <w:spacing w:before="360" w:after="283"/>
        <w:jc w:val="both"/>
        <w:rPr>
          <w:rFonts w:ascii="Times New Roman" w:hAnsi="Times New Roman"/>
          <w:sz w:val="20"/>
        </w:rPr>
      </w:pPr>
      <w:r>
        <w:rPr>
          <w:rFonts w:ascii="Times New Roman" w:hAnsi="Times New Roman"/>
          <w:b/>
          <w:color w:val="000000"/>
          <w:sz w:val="20"/>
        </w:rPr>
        <w:t>Consolidated Key Operating Metrics: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refer to numbers and metrics relating to or deriving from only those outpatient imaging centers and managed physician practices (the source of our professional services revenue) that we consolidate for financial reporting purposes: our wholly owned centers and our centers owned by and practices managed through VIEs, as “consolidated.” </w:t>
      </w:r>
    </w:p>
    <w:p>
      <w:pPr>
        <w:pStyle w:val="TextBody"/>
        <w:bidi w:val="0"/>
        <w:spacing w:before="360" w:after="283"/>
        <w:jc w:val="both"/>
        <w:rPr>
          <w:rFonts w:ascii="Times New Roman" w:hAnsi="Times New Roman"/>
          <w:sz w:val="20"/>
        </w:rPr>
      </w:pPr>
      <w:r>
        <w:rPr>
          <w:rFonts w:ascii="Times New Roman" w:hAnsi="Times New Roman"/>
          <w:b/>
          <w:i/>
          <w:color w:val="000000"/>
          <w:sz w:val="13"/>
        </w:rPr>
        <w:t>(1)</w:t>
      </w:r>
      <w:r>
        <w:rPr>
          <w:rFonts w:ascii="Times New Roman" w:hAnsi="Times New Roman"/>
          <w:b/>
          <w:i/>
          <w:color w:val="000000"/>
          <w:sz w:val="20"/>
        </w:rPr>
        <w:t>Consolidated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revenue growth as the percentage change in total GAAP revenue, as compared to the prior year period. </w:t>
      </w:r>
    </w:p>
    <w:p>
      <w:pPr>
        <w:pStyle w:val="TextBody"/>
        <w:bidi w:val="0"/>
        <w:spacing w:before="360" w:after="283"/>
        <w:jc w:val="both"/>
        <w:rPr>
          <w:rFonts w:ascii="Times New Roman" w:hAnsi="Times New Roman"/>
          <w:sz w:val="20"/>
        </w:rPr>
      </w:pPr>
      <w:r>
        <w:rPr>
          <w:rFonts w:ascii="Times New Roman" w:hAnsi="Times New Roman"/>
          <w:b/>
          <w:i/>
          <w:color w:val="000000"/>
          <w:sz w:val="13"/>
        </w:rPr>
        <w:t>(2)</w:t>
      </w:r>
      <w:r>
        <w:rPr>
          <w:rFonts w:ascii="Times New Roman" w:hAnsi="Times New Roman"/>
          <w:b/>
          <w:i/>
          <w:color w:val="000000"/>
          <w:sz w:val="20"/>
        </w:rPr>
        <w:t>Consolidated outpatient same-center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revenue growth as the percentage change in consolidated outpatient same-center revenue, as compared to the prior year period. We define consolidated outpatient same-center revenue as the total revenue generated by the outpatient imaging centers which we consolidate for financial reporting purposes under GAAP and which have been in operation for more than one year, excluding new acquisitions or divested outpatient imaging centers. This metric does not reflect professional services revenue. </w:t>
      </w:r>
    </w:p>
    <w:p>
      <w:pPr>
        <w:pStyle w:val="TextBody"/>
        <w:bidi w:val="0"/>
        <w:spacing w:before="360" w:after="283"/>
        <w:jc w:val="both"/>
        <w:rPr>
          <w:rFonts w:ascii="Times New Roman" w:hAnsi="Times New Roman"/>
          <w:sz w:val="20"/>
        </w:rPr>
      </w:pPr>
      <w:r>
        <w:rPr>
          <w:rFonts w:ascii="Times New Roman" w:hAnsi="Times New Roman"/>
          <w:b/>
          <w:i/>
          <w:color w:val="000000"/>
          <w:sz w:val="13"/>
        </w:rPr>
        <w:t>(3)</w:t>
      </w:r>
      <w:r>
        <w:rPr>
          <w:rFonts w:ascii="Times New Roman" w:hAnsi="Times New Roman"/>
          <w:b/>
          <w:i/>
          <w:color w:val="000000"/>
          <w:sz w:val="20"/>
        </w:rPr>
        <w:t>Consolidated outpatient same-center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volume growth as the percentage change in consolidated outpatient same-center volume, as compared to the prior year period. We define consolidated outpatient same-center volume as the total number of scans or comparable services for each of our imaging modalities which were performed in the given period at centers which we consolidate for financial reporting purposes under GAAP. This metric does not reflect professional services volume. </w:t>
      </w:r>
    </w:p>
    <w:p>
      <w:pPr>
        <w:pStyle w:val="TextBody"/>
        <w:bidi w:val="0"/>
        <w:spacing w:before="360" w:after="283"/>
        <w:jc w:val="both"/>
        <w:rPr>
          <w:rFonts w:ascii="Times New Roman" w:hAnsi="Times New Roman"/>
          <w:sz w:val="20"/>
        </w:rPr>
      </w:pPr>
      <w:r>
        <w:rPr>
          <w:rFonts w:ascii="Times New Roman" w:hAnsi="Times New Roman"/>
          <w:b/>
          <w:i/>
          <w:color w:val="000000"/>
          <w:sz w:val="13"/>
        </w:rPr>
        <w:t>(4)</w:t>
      </w:r>
      <w:r>
        <w:rPr>
          <w:rFonts w:ascii="Times New Roman" w:hAnsi="Times New Roman"/>
          <w:b/>
          <w:i/>
          <w:color w:val="000000"/>
          <w:sz w:val="20"/>
        </w:rPr>
        <w:t>Consolidated outpatient same-center net revenue per scan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outpatient same-center net revenue per scan growth as the percentage change in consolidated outpatient same-center net revenue per scan, as compared to the prior year period. We define same-center net revenue per scan as consolidated outpatient same-center revenue divided by consolidated same-center volume for the respective period. This metric does not reflect professional services revenue or volume.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13"/>
        </w:rPr>
        <w:t>(5)</w:t>
      </w:r>
      <w:r>
        <w:rPr>
          <w:rFonts w:ascii="Times New Roman" w:hAnsi="Times New Roman"/>
          <w:b/>
          <w:i/>
          <w:color w:val="000000"/>
          <w:sz w:val="20"/>
        </w:rPr>
        <w:t>Consolidated professional same-practice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revenue growth as the percentage change in consolidated professional same-practice total revenue, as compared to the prior year period. We consolidate all of these entities. This metric does not reflect revenue from our outpatient imaging centers. </w:t>
      </w:r>
    </w:p>
    <w:p>
      <w:pPr>
        <w:pStyle w:val="TextBody"/>
        <w:bidi w:val="0"/>
        <w:spacing w:before="360" w:after="283"/>
        <w:jc w:val="both"/>
        <w:rPr>
          <w:rFonts w:ascii="Times New Roman" w:hAnsi="Times New Roman"/>
          <w:sz w:val="20"/>
        </w:rPr>
      </w:pPr>
      <w:r>
        <w:rPr>
          <w:rFonts w:ascii="Times New Roman" w:hAnsi="Times New Roman"/>
          <w:b/>
          <w:i/>
          <w:color w:val="000000"/>
          <w:sz w:val="13"/>
        </w:rPr>
        <w:t>(6)</w:t>
      </w:r>
      <w:r>
        <w:rPr>
          <w:rFonts w:ascii="Times New Roman" w:hAnsi="Times New Roman"/>
          <w:b/>
          <w:i/>
          <w:color w:val="000000"/>
          <w:sz w:val="20"/>
        </w:rPr>
        <w:t>Consolidated professional same-practice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volume growth as the percentage change in consolidated professional same-practice volume, as compared to the prior year period. We consolidate all of these entities. This metric does not reflect volume from our outpatient imaging centers. </w:t>
      </w:r>
    </w:p>
    <w:p>
      <w:pPr>
        <w:pStyle w:val="TextBody"/>
        <w:bidi w:val="0"/>
        <w:spacing w:before="360" w:after="283"/>
        <w:jc w:val="both"/>
        <w:rPr>
          <w:rFonts w:ascii="Times New Roman" w:hAnsi="Times New Roman"/>
          <w:sz w:val="20"/>
        </w:rPr>
      </w:pPr>
      <w:r>
        <w:rPr>
          <w:rFonts w:ascii="Times New Roman" w:hAnsi="Times New Roman"/>
          <w:b/>
          <w:i/>
          <w:color w:val="000000"/>
          <w:sz w:val="13"/>
        </w:rPr>
        <w:t>(7)</w:t>
      </w:r>
      <w:r>
        <w:rPr>
          <w:rFonts w:ascii="Times New Roman" w:hAnsi="Times New Roman"/>
          <w:b/>
          <w:i/>
          <w:color w:val="000000"/>
          <w:sz w:val="20"/>
        </w:rPr>
        <w:t>Consolidated professional same-practice net revenue per read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consolidated professional same-practice net revenue per read growth as the percentage change in consolidated professional same-practice net revenue per read, as compared to the prior year period. We define consolidated professional same-practice net revenue per read as consolidated professional same-practice revenue divided by consolidated professional same-practice volume for the respective period. This metric does not reflect revenue or volume from our outpatient imaging centers. </w:t>
      </w:r>
    </w:p>
    <w:p>
      <w:pPr>
        <w:pStyle w:val="TextBody"/>
        <w:bidi w:val="0"/>
        <w:spacing w:before="360" w:after="283"/>
        <w:jc w:val="both"/>
        <w:rPr>
          <w:rFonts w:ascii="Times New Roman" w:hAnsi="Times New Roman"/>
          <w:sz w:val="20"/>
        </w:rPr>
      </w:pPr>
      <w:r>
        <w:rPr>
          <w:rFonts w:ascii="Times New Roman" w:hAnsi="Times New Roman"/>
          <w:b/>
          <w:color w:val="000000"/>
          <w:sz w:val="20"/>
        </w:rPr>
        <w:t>System-wide Key Operating Metrics: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refer to numbers and metrics relating to or deriving from our managed physician practices (the source of our professional services revenue) and all of our outpatient imaging centers, including our wholly owned centers and our centers owned by and practices managed through our VIEs, which we consolidate for financial reporting purposes, plus those centers owned by our unconsolidated affiliates, which are not included in our consolidated GAAP total revenue but which we report using the equity method of accounting, collectively, as “system-wide.” Portions of the financial results of our unconsolidated affiliates that are included in our system-wide metrics are unaudited and/or not prepared by our management. </w:t>
      </w:r>
    </w:p>
    <w:p>
      <w:pPr>
        <w:pStyle w:val="TextBody"/>
        <w:bidi w:val="0"/>
        <w:spacing w:before="360" w:after="283"/>
        <w:jc w:val="both"/>
        <w:rPr>
          <w:rFonts w:ascii="Times New Roman" w:hAnsi="Times New Roman"/>
          <w:sz w:val="20"/>
        </w:rPr>
      </w:pPr>
      <w:r>
        <w:rPr>
          <w:rFonts w:ascii="Times New Roman" w:hAnsi="Times New Roman"/>
          <w:b/>
          <w:i/>
          <w:color w:val="000000"/>
          <w:sz w:val="13"/>
        </w:rPr>
        <w:t>(8)</w:t>
      </w:r>
      <w:r>
        <w:rPr>
          <w:rFonts w:ascii="Times New Roman" w:hAnsi="Times New Roman"/>
          <w:b/>
          <w:i/>
          <w:color w:val="000000"/>
          <w:sz w:val="20"/>
        </w:rPr>
        <w:t>System-wide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System-wide revenue is equal to consolidated revenue plus the revenue from our unconsolidated affiliates, which is not included in our consolidated GAAP total revenue but for which we report results using the equity method of accounting. In our consolidated financial statements, only the net income or net loss from our unconsolidated affiliates is reported in the line item equity in earnings of unconsolidated affiliates. Because of this, management supplementally focuses on system-wide revenues as an operating metric, which measures revenues from all of our centers and managed physician practices, including revenues from our unconsolidated affiliates (without adjustment based on our percentage of ownership therein), after eliminating transactions between the consolidated Lumexa Imaging entities and our unconsolidated affiliates. We define system-wide revenue growth as the percentage change in system-wide revenue, as compared to the prior year period. </w:t>
      </w:r>
    </w:p>
    <w:p>
      <w:pPr>
        <w:pStyle w:val="TextBody"/>
        <w:bidi w:val="0"/>
        <w:spacing w:before="360" w:after="283"/>
        <w:jc w:val="both"/>
        <w:rPr>
          <w:rFonts w:ascii="Times New Roman" w:hAnsi="Times New Roman"/>
          <w:sz w:val="20"/>
        </w:rPr>
      </w:pPr>
      <w:r>
        <w:rPr>
          <w:rFonts w:ascii="Times New Roman" w:hAnsi="Times New Roman"/>
          <w:b/>
          <w:i/>
          <w:color w:val="000000"/>
          <w:sz w:val="13"/>
        </w:rPr>
        <w:t>(9)</w:t>
      </w:r>
      <w:r>
        <w:rPr>
          <w:rFonts w:ascii="Times New Roman" w:hAnsi="Times New Roman"/>
          <w:b/>
          <w:i/>
          <w:color w:val="000000"/>
          <w:sz w:val="20"/>
        </w:rPr>
        <w:t>System-wide outpatient same-center revenue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revenue growth as the percentage change in system-wide outpatient same-center revenue, as compared to the prior year period. We define system-wide outpatient same-center revenue as the total revenue generated by all of our outpatient imaging centers, including outpatient imaging centers which we consolidate for financial reporting purposes under GAAP and those which we report using the equity method of accounting. This metric does not reflect professional services revenue. </w:t>
      </w:r>
    </w:p>
    <w:p>
      <w:pPr>
        <w:pStyle w:val="TextBody"/>
        <w:bidi w:val="0"/>
        <w:spacing w:before="360" w:after="283"/>
        <w:jc w:val="both"/>
        <w:rPr>
          <w:rFonts w:ascii="Times New Roman" w:hAnsi="Times New Roman"/>
          <w:sz w:val="20"/>
        </w:rPr>
      </w:pPr>
      <w:r>
        <w:rPr>
          <w:rFonts w:ascii="Times New Roman" w:hAnsi="Times New Roman"/>
          <w:b/>
          <w:i/>
          <w:color w:val="000000"/>
          <w:sz w:val="13"/>
        </w:rPr>
        <w:t>(10)</w:t>
      </w:r>
      <w:r>
        <w:rPr>
          <w:rFonts w:ascii="Times New Roman" w:hAnsi="Times New Roman"/>
          <w:b/>
          <w:i/>
          <w:color w:val="000000"/>
          <w:sz w:val="20"/>
        </w:rPr>
        <w:t>System-wide outpatient same-center volume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volume growth as the percentage change in system-wide outpatient same-center volume, as compared to the prior year period. We define system-wide outpatient same-center volume as the total number of scans or comparable services for each of our imaging modalities which were performed in the given period, including outpatient imaging centers which we consolidate for financial reporting purposes under GAAP and those which we report using the equity method of accounting. This metric does not reflect professional services volume. </w:t>
      </w:r>
    </w:p>
    <w:p>
      <w:pPr>
        <w:pStyle w:val="TextBody"/>
        <w:bidi w:val="0"/>
        <w:spacing w:before="360" w:after="283"/>
        <w:jc w:val="both"/>
        <w:rPr>
          <w:rFonts w:ascii="Times New Roman" w:hAnsi="Times New Roman"/>
          <w:sz w:val="20"/>
        </w:rPr>
      </w:pPr>
      <w:r>
        <w:rPr>
          <w:rFonts w:ascii="Times New Roman" w:hAnsi="Times New Roman"/>
          <w:b/>
          <w:i/>
          <w:color w:val="000000"/>
          <w:sz w:val="13"/>
        </w:rPr>
        <w:t>(11)</w:t>
      </w:r>
      <w:r>
        <w:rPr>
          <w:rFonts w:ascii="Times New Roman" w:hAnsi="Times New Roman"/>
          <w:b/>
          <w:i/>
          <w:color w:val="000000"/>
          <w:sz w:val="20"/>
        </w:rPr>
        <w:t>System-wide outpatient same-center net revenue per scan growth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system-wide outpatient same-center net revenue per scan growth as the percentage change in system-wide outpatient same-center net revenue per scan, as compared to the prior year period. We define system-wide outpatient same-center net revenue per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scan as system-wide outpatient same-center revenue divided by system-wide outpatient same-center volume for the respective period. This metric does not reflect professional services revenue or volume. </w:t>
      </w:r>
    </w:p>
    <w:p>
      <w:pPr>
        <w:pStyle w:val="TextBody"/>
        <w:bidi w:val="0"/>
        <w:spacing w:before="360" w:after="283"/>
        <w:jc w:val="both"/>
        <w:rPr>
          <w:rFonts w:ascii="Times New Roman" w:hAnsi="Times New Roman"/>
          <w:sz w:val="20"/>
        </w:rPr>
      </w:pPr>
      <w:r>
        <w:rPr>
          <w:rFonts w:ascii="Times New Roman" w:hAnsi="Times New Roman"/>
          <w:b/>
          <w:color w:val="000000"/>
          <w:sz w:val="20"/>
        </w:rPr>
        <w:t>Sources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is primarily generated by providing diagnostic imaging services and radiology services to patients. Most of the revenue generated from patient services is derived from a diverse mix of payors, including commercial insurance companies with whom we have over 600 contracts, government payors such as Medicare and Medicaid, and private payors. We believe our payor diversity mitigates our exposure to possible unfavorable reimbursement trends within any one payor class.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earn management fee revenue from managing the centers we do not consolidate for financial reporting purposes under GAAP and from providing administrative and radiology support for third-party hospitals. The management fee for an unconsolidated affiliate is calculated using a contractually defined formula based on the revenue of such center. We are also reimbursed for certain costs of providing management services. The amount recognized for the recovery of pass-through costs is based on the actual costs of contracted providers providing the related services. Our consolidated revenue and expenses do not include the management fees we earn from physician practices because those fees are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consolidated revenue by type and as a percentage of total revenue for the periods indicated: </w:t>
      </w:r>
    </w:p>
    <w:p>
      <w:pPr>
        <w:pStyle w:val="TextBody"/>
        <w:bidi w:val="0"/>
        <w:jc w:val="both"/>
        <w:rPr/>
      </w:pPr>
      <w:r>
        <w:rPr/>
        <w:t> </w:t>
      </w:r>
    </w:p>
    <w:tbl>
      <w:tblPr>
        <w:tblW w:w="6611" w:type="dxa"/>
        <w:jc w:val="left"/>
        <w:tblInd w:w="0" w:type="dxa"/>
        <w:tblLayout w:type="fixed"/>
        <w:tblCellMar>
          <w:top w:w="28" w:type="dxa"/>
          <w:left w:w="28" w:type="dxa"/>
          <w:bottom w:w="28" w:type="dxa"/>
          <w:right w:w="28" w:type="dxa"/>
        </w:tblCellMar>
      </w:tblPr>
      <w:tblGrid>
        <w:gridCol w:w="4081"/>
        <w:gridCol w:w="146"/>
        <w:gridCol w:w="163"/>
        <w:gridCol w:w="638"/>
        <w:gridCol w:w="303"/>
        <w:gridCol w:w="163"/>
        <w:gridCol w:w="163"/>
        <w:gridCol w:w="638"/>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and other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consolidated net patient service revenue by payor is summarized in the following table for the periods indicated (in thousands): </w:t>
      </w:r>
    </w:p>
    <w:p>
      <w:pPr>
        <w:pStyle w:val="TextBody"/>
        <w:bidi w:val="0"/>
        <w:jc w:val="both"/>
        <w:rPr/>
      </w:pPr>
      <w:r>
        <w:rPr/>
        <w:t> </w:t>
      </w:r>
    </w:p>
    <w:tbl>
      <w:tblPr>
        <w:tblW w:w="6904" w:type="dxa"/>
        <w:jc w:val="left"/>
        <w:tblInd w:w="0" w:type="dxa"/>
        <w:tblLayout w:type="fixed"/>
        <w:tblCellMar>
          <w:top w:w="28" w:type="dxa"/>
          <w:left w:w="28" w:type="dxa"/>
          <w:bottom w:w="28" w:type="dxa"/>
          <w:right w:w="28" w:type="dxa"/>
        </w:tblCellMar>
      </w:tblPr>
      <w:tblGrid>
        <w:gridCol w:w="4291"/>
        <w:gridCol w:w="146"/>
        <w:gridCol w:w="211"/>
        <w:gridCol w:w="781"/>
        <w:gridCol w:w="146"/>
        <w:gridCol w:w="146"/>
        <w:gridCol w:w="211"/>
        <w:gridCol w:w="78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Government—Medicaid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third-party payors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patient service revenue, unrelated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patient service revenue,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patient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non-GAAP financial measures,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review and assess the operating performance of our management team; (iv) analyze and evaluate financial and strategic planning decisions regarding future operations and annual operating budgets. </w:t>
      </w:r>
    </w:p>
    <w:p>
      <w:pPr>
        <w:pStyle w:val="TextBody"/>
        <w:bidi w:val="0"/>
        <w:spacing w:before="360" w:after="283"/>
        <w:jc w:val="both"/>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Adjusted EBITDA removes non-cash and non-recurring charges that occur in the affected period and provides a basis for measuring our core financial performance against other periods. We define Adjusted EBITDA as earnings before interest, taxes, depreciation and amortization, as adjusted to exclude loss or gain on the disposal of property and equipment, other income or losses, loss on debt extinguishment, gain on sale of outpatient imaging centers and non-cash equity compensation. Adjusted EBITDA includes equity in earnings of unconsolidated affiliates (and adds back our proportional share of depreciation and amortization, interest expense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losses on the disposal of assets at unconsolidated affiliates) and is adjusted for non-cash or non-recurring events that take place during the period that, in our judgement, significantly impact the period-over-period assessment of performance and operating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Adjusted EBITDA is a non-GAAP financial measure used as an analytical indicator to assess business performance. Adjusted EBITDA should not be construed as a measure of financial performance, liquidity, or cash flows provided by or (used) in operating, investing, and financing activities, as there may be significant factors or trends that it fails to address. Adjusted EBITDA should not be considered in isolation or as an alternative to net income (loss), or other financial statement data presented in our consolidated financial statements as an indicator of financial performance. Adjusted EBITDA is not a measurement determined in accordance with GAAP and is therefore susceptible to varying methods of calculation and this metric, as presented, may not be comparable to other similarly titled measures of other companies. We caution investors that non-GAAP financial information departs from traditional accounting conventions. Therefore, its use can make it difficult to compare our results with the results of other companies. </w:t>
      </w:r>
    </w:p>
    <w:p>
      <w:pPr>
        <w:pStyle w:val="TextBody"/>
        <w:bidi w:val="0"/>
        <w:spacing w:before="360" w:after="283"/>
        <w:jc w:val="both"/>
        <w:rPr>
          <w:rFonts w:ascii="Times New Roman" w:hAnsi="Times New Roman"/>
          <w:sz w:val="20"/>
        </w:rPr>
      </w:pPr>
      <w:r>
        <w:rPr>
          <w:rFonts w:ascii="Times New Roman" w:hAnsi="Times New Roman"/>
          <w:b/>
          <w:i/>
          <w:color w:val="000000"/>
          <w:sz w:val="20"/>
        </w:rPr>
        <w:t>Adjusted EBITDA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Adjusted EBITDA margin as Adjusted EBITDA divided by total consolidated revenue.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use of non-GAAP measures such as Adjusted EBITDA and Adjusted EBITDA margin assist investors in understanding our ongoing operating performance by presenting comparable financial results between periods. We believe that, by removing the impact of depreciation and amortization, amounts spent on interest and taxes and certain other non-recurring income and charges that are highly variable from period to period, Adjusted EBITDA provides investors with a performance measure that reflects the impact on operations from changes in revenue and operating expenses, providing a perspective not immediately apparent from net income (loss). The adjustments we make to derive Adjusted EBITDA exclude items which may cause short-term fluctuations in net income (loss) that we do not consider to be fundamental attributes or primary drivers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illustrates the reconciliations from net income (loss) under GAAP to Adjusted EBITDA for the periods indicated (in thousands): </w:t>
      </w:r>
    </w:p>
    <w:p>
      <w:pPr>
        <w:pStyle w:val="TextBody"/>
        <w:bidi w:val="0"/>
        <w:jc w:val="both"/>
        <w:rPr/>
      </w:pPr>
      <w:r>
        <w:rPr/>
        <w:t> </w:t>
      </w:r>
    </w:p>
    <w:tbl>
      <w:tblPr>
        <w:tblW w:w="6644" w:type="dxa"/>
        <w:jc w:val="left"/>
        <w:tblInd w:w="0" w:type="dxa"/>
        <w:tblLayout w:type="fixed"/>
        <w:tblCellMar>
          <w:top w:w="28" w:type="dxa"/>
          <w:left w:w="28" w:type="dxa"/>
          <w:bottom w:w="28" w:type="dxa"/>
          <w:right w:w="28" w:type="dxa"/>
        </w:tblCellMar>
      </w:tblPr>
      <w:tblGrid>
        <w:gridCol w:w="4201"/>
        <w:gridCol w:w="146"/>
        <w:gridCol w:w="211"/>
        <w:gridCol w:w="676"/>
        <w:gridCol w:w="166"/>
        <w:gridCol w:w="146"/>
        <w:gridCol w:w="211"/>
        <w:gridCol w:w="67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basis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Severance and executive recruiting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initiatives and implementation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costs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Litigation and settlements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amortization–unconsolidated</w:t>
              <w:br/>
              <w:t>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expense–unconsolidated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Losses on asset disposal or sale—unconsolidated</w:t>
              <w:br/>
              <w:t>   affiliates</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adjustments—unconsolidated affiliates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severance and recruiting expenses for executive leadership departures as part of strategic organizational changes. These amounts are included in general and administrative expenses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For the three months ended March 31, 2026 and 2025, $0.7 million and $0.4 million of these costs, respectively, are included in general and administrative expense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condensed consolidated statements of operations and comprehensive income (loss). For the three months ended March 31, 2026 and 2025, $0.1 million and $0.5 million of these costs, respectively, are included in cost of operations, excluding depreciation and amortization expense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costs for third party non-recurring IPO costs, buy-side and sell-side due diligence activities to evaluate and execute potential mergers and acquisitions, integrate acquired businesses and one-time employee retention bonuses related to potential mergers and acquisitions. For the three months ended March 31, 2026 and 2025, $2.6 million and $3.5 million of these costs, respectively, are included in general and administrative expense in our condensed consolidated statements of operations and comprehensive income (loss). For the three months ended March 31, 2025, $0.1 million of these costs was included in cost of operations, excluding depreciation and amortization expense in our condensed consolidated statements of operations and comprehensive income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litigation and settlement costs for matters not related to core operations.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Consists of other costs related to debt financing, certain de novo start-up costs related to outpatient imaging centers and certain exit costs related to closed outpatient imaging centers.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 xml:space="preserve">To adjust for Lumexa Imaging’s proportional share of these expenses, which are included in equity in earnings from unconsolidated affiliates. </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finance our operations through cash provided by operating activities along with long term debt, including senior secured credit facilities and equipment promissory notes. Our principal uses of cash and cash equivalents in recent periods have been to fund our operations. During the three months ended March 31, 2026, we earned net income of $1.7 million and net cash provided by operations was $2.9 million. During the three months ended March 31, 2025, we incurred a net loss of $7.7 million and net cash used in operations was $14.0 million. We expect our existing capital resources, anticipated cash from operations and our borrowing capacity under the Amended Revolving Credit Facility will be sufficient to sustain our operations for the next twelve months and the foreseeable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capital requirements are for the development of de novo centers, the acquisition of new imaging equipment, the implementation of new technology and the acquisition of additional outpatient imaging centers. On a continuing basis, we evaluate various transactions to increase stockholder value and enhance our business results, including acquisitions, divestitures and joint ventures. We expect to fund any future acquisitions primarily with cash flow from operations and debt financing, including borrowings available under the Amended Revolving Credit Facility, or through new equity or debt issuances. The incurrence of debt financing would result in additional debt service obligations, and any future instruments governing such debt could provide for operating and financing covenants that could restrict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our subsidiaries or affiliates may from time to time, in our sole discretion, purchase, repay, redeem or retire any of our outstanding debt or equity securities in privately negotiated or open market transactions, by tender offer or otherwise. </w:t>
      </w:r>
    </w:p>
    <w:p>
      <w:pPr>
        <w:pStyle w:val="TextBody"/>
        <w:bidi w:val="0"/>
        <w:spacing w:before="360" w:after="283"/>
        <w:jc w:val="both"/>
        <w:rPr>
          <w:rFonts w:ascii="Times New Roman" w:hAnsi="Times New Roman"/>
          <w:sz w:val="20"/>
        </w:rPr>
      </w:pPr>
      <w:r>
        <w:rPr>
          <w:rFonts w:ascii="Times New Roman" w:hAnsi="Times New Roman"/>
          <w:b/>
          <w:i/>
          <w:color w:val="000000"/>
          <w:sz w:val="20"/>
        </w:rPr>
        <w:t>Sources and Uses of Cash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(in thousands): </w:t>
      </w:r>
    </w:p>
    <w:p>
      <w:pPr>
        <w:pStyle w:val="TextBody"/>
        <w:bidi w:val="0"/>
        <w:jc w:val="both"/>
        <w:rPr/>
      </w:pPr>
      <w:r>
        <w:rPr/>
        <w:t> </w:t>
      </w:r>
    </w:p>
    <w:tbl>
      <w:tblPr>
        <w:tblW w:w="6674" w:type="dxa"/>
        <w:jc w:val="left"/>
        <w:tblInd w:w="0" w:type="dxa"/>
        <w:tblLayout w:type="fixed"/>
        <w:tblCellMar>
          <w:top w:w="28" w:type="dxa"/>
          <w:left w:w="28" w:type="dxa"/>
          <w:bottom w:w="28" w:type="dxa"/>
          <w:right w:w="28" w:type="dxa"/>
        </w:tblCellMar>
      </w:tblPr>
      <w:tblGrid>
        <w:gridCol w:w="4216"/>
        <w:gridCol w:w="146"/>
        <w:gridCol w:w="211"/>
        <w:gridCol w:w="63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our operating activities provided $2.9 million of net cash as compared to net cash used in operating activities of $14.0 million during the three months ended March 31, 2025. The increase in net cash provided by operating activities of $16.9 million during the three months ended March 31, 2026, as compared to the three months ended March 31, 2025, was primarily driven by a reduction in interest payments. The interest payment reduction was the result of the paydown and refinancing of our Existing Term Loan (defined below) in December 2025. We anticipate that the paydown and refinancing of the Existing Term Loan will benefit operating cash flows in 2026, given that our term loan borrowings were reduced from $1.2 billion under the Existing Term Loan as of December 17, 2025 (the date of refinancing) to $822.9 million under the Refinancing Term Loan (defined below) as of March 31, 2026 and our interest rate decreased from SOFR plus 4.75% per annum under the Existing Term Loan to SOFR plus 3.00% per annum under the Refinancing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2026 and 2025, our operating cash flows were reduced by $4.4 million and $5.8 million, respectively, primarily due to transaction costs, severance and executive recruiting, and strategic initiatives and implementation costs. We expect that some of these activities, including our ERP and other IT implementations, as well as executive recruiting, will continue through part of 2026.</w:t>
      </w:r>
    </w:p>
    <w:p>
      <w:pPr>
        <w:pStyle w:val="TextBody"/>
        <w:bidi w:val="0"/>
        <w:spacing w:before="360" w:after="283"/>
        <w:jc w:val="both"/>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and 2025, our investing activities used $5.3 million and $0.7 million of net cash, respectively. The cash used in investing activities was attributable to purchases of property and equipment in the amounts of $5.3 million and $1.0 million during the three months ended March 31, 2026 and 2025, respectively. We also finance acquisitions of equipment using finance lease arrangements as described below in Noncash Equipment Purchases.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Noncash Equipment 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optimize our use of cash to advance our growth strategy while also reducing the size of our debt relative to our Adjusted EBITDA. As part of this strategy, we make cash purchases for equipment, which for our wholly owned centers are classified within investing activities, as described above. We also acquire equipment under finance lease arrangements. Assets acquired by our wholly owned centers under finance lease arrangements, which do not involve an up-front cash outlay, totaled $10.8 million and $4.0 million during the three months ended March 31, 2026 and 2025, respectively. Purchases of property and equipment in accounts payable and accrued expenses was $6.9 million and $2.0 million for the three months ended March 31,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From Unconsolidated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centers we operate in partnership with health systems, which we often call JV centers, are accounted for as unconsolidated affiliates, due to our minority ownership position in them. These centers generally distribute cash quarterly, and our pro rata share of these distributions was $17.7 million and $18.3 million during the three months ended March 31, 2026 and 2025, respectively. Distributions from the joint ventures received by us are made from the actual cash flow of the joint ventures after their cash capital expenditures, equipment lease payments, net working capital changes and interest expense, if any. These distributions are included in our condensed consolidated statements of cash flows from operating activities as one line item: “Distributions from investments in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earnings from JVs are also shown in one line on our condensed consolidated statements of operations and comprehensive income (loss): “Equity in earnings of unconsolidated affiliates.” These earnings were $15.0 million and $15.3 million for the three months ended March 31, 2026 and 2025, respectively. While the timing of our distributions from our JV centers can vary based on capital and other planning of JV level cash needs, and there were timing differences in 2026 and 2025, the total distributions from investments in unconsolidated affiliates that we received during these two periods together, were approximately $5.6 million higher than our equity in earnings from unconsolidated affiliates as shown in the table below (in thousands):</w:t>
      </w:r>
    </w:p>
    <w:p>
      <w:pPr>
        <w:pStyle w:val="TextBody"/>
        <w:bidi w:val="0"/>
        <w:jc w:val="both"/>
        <w:rPr/>
      </w:pPr>
      <w:r>
        <w:rPr/>
        <w:t> </w:t>
      </w:r>
    </w:p>
    <w:tbl>
      <w:tblPr>
        <w:tblW w:w="7725" w:type="dxa"/>
        <w:jc w:val="left"/>
        <w:tblInd w:w="0" w:type="dxa"/>
        <w:tblLayout w:type="fixed"/>
        <w:tblCellMar>
          <w:top w:w="28" w:type="dxa"/>
          <w:left w:w="28" w:type="dxa"/>
          <w:bottom w:w="28" w:type="dxa"/>
          <w:right w:w="28" w:type="dxa"/>
        </w:tblCellMar>
      </w:tblPr>
      <w:tblGrid>
        <w:gridCol w:w="4141"/>
        <w:gridCol w:w="146"/>
        <w:gridCol w:w="211"/>
        <w:gridCol w:w="677"/>
        <w:gridCol w:w="146"/>
        <w:gridCol w:w="146"/>
        <w:gridCol w:w="211"/>
        <w:gridCol w:w="677"/>
        <w:gridCol w:w="146"/>
        <w:gridCol w:w="146"/>
        <w:gridCol w:w="211"/>
        <w:gridCol w:w="67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from investments in unconsolidated</w:t>
              <w:br/>
              <w:t>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with our wholly owned centers, our JV centers add equipment and fund de novo centers through a combination of cash purchases and finance lease arrangements, which do not involve an up-front cash outlay. Equipment purchases under both methods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totaled $14.9 million and $8.4 million for our JV centers during three months ended March 31, 2026 and 2025, of which our pro rata ownership share was $6.9 million and $4.1 million, respectively.</w:t>
      </w:r>
    </w:p>
    <w:p>
      <w:pPr>
        <w:pStyle w:val="TextBody"/>
        <w:bidi w:val="0"/>
        <w:spacing w:before="36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and 2025, our financing activities used $5.3 million and $4.1 million of net cash, respectively. The primary use of cash in financing activities was payments on long-term debt and finance leases.</w:t>
      </w:r>
    </w:p>
    <w:p>
      <w:pPr>
        <w:pStyle w:val="TextBody"/>
        <w:bidi w:val="0"/>
        <w:spacing w:before="360" w:after="283"/>
        <w:jc w:val="both"/>
        <w:rPr>
          <w:rFonts w:ascii="Times New Roman" w:hAnsi="Times New Roman"/>
          <w:sz w:val="20"/>
        </w:rPr>
      </w:pPr>
      <w:r>
        <w:rPr>
          <w:rFonts w:ascii="Times New Roman" w:hAnsi="Times New Roman"/>
          <w:b/>
          <w:i/>
          <w:color w:val="000000"/>
          <w:sz w:val="20"/>
        </w:rPr>
        <w:t>Long Term Debt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15, 2020, Lumexa Imaging, Inc. (“LII”) and Lumexa Imaging Outpatient, Inc. (“LIOI”) entered into a senior secured credit agreement (as amended from time to time prior to the date of the Credit Agreement, the “Existing Credit Agreement”) with Barclays Bank PLC, as administrative agent, collateral agent, an issuing bank and swing line lender, and the other lenders party thereto, providing for a secured term loan facility (the “Existing Term Loan”) and a secured revolving line of credit (the “Existing Revolving Credit Facility” and, together with the Existing Term Loan, the “Existing Senior Secured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LII and LIOI entered into Amendment No. 5 to the Existing Senior Secured Credit Facility with Barclays Bank PLC, as administrative agent and collateral agent, and the other lenders party thereto. Our “Amended Credit Agreement” provides for (i) a secured term loan facility of $825.0 million (the “Refinancing Term Loan”) and (ii) a secured revolving line of credit of $250.0 million (the “Amended Revolving Credit Facility” and, together with the Refinancing Term Loan, the “Refinancing Senior Secured Credit Facility”). The Refinancing Senior Secured Credit Facility bears interest at a rate per annum equal to SOFR plus 3.0%. The Refinancing Term Loan is to mature in December 2032. The Amended Revolving Credit Facility matures in December 2030. As of March 31, 2026, $822.9 million was outstanding on the Refinancing Term Loan. No amounts were outstanding under the Amended Revolving Credit Facility as of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financed the acquisition of certain medical equipment and leasehold improvements under promissory notes which are collateralized by property and equipment, which mature at various times through 2031.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more information on our long-term debt, see Note 6 in the notes accompanying our condensed consolidated financial statements included in this Quarterly Report on Form 10-Q. </w:t>
      </w:r>
    </w:p>
    <w:p>
      <w:pPr>
        <w:pStyle w:val="TextBody"/>
        <w:bidi w:val="0"/>
        <w:spacing w:before="360" w:after="283"/>
        <w:jc w:val="both"/>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our strategy of partnering with health systems, we do not own controlling interests (and are also not the primary beneficiary) in a number of our outpatient imaging centers. As of March 31, 2026, we accounted for 86 of our 189 outpatient imaging centers under the equity method of accounting. As of March 31, 2025, we accounted for 83 of our 182 outpatient imaging centers under the equity method of accounting. Similar to our consolidated outpatient imaging centers, our unconsolidated imaging centers have debts, including finance lease obligations, that are generally non-recourse to us. The debts of our unconsolidated outpatient imaging centers are not included in our consolidated financial statements. As of March 31, 2026 and December 31, 2025, the total debt on the balance sheets of our unconsolidated affiliates was $81.8 million and $69.1 million, respectively. </w:t>
      </w:r>
    </w:p>
    <w:p>
      <w:pPr>
        <w:pStyle w:val="TextBody"/>
        <w:bidi w:val="0"/>
        <w:spacing w:before="360" w:after="283"/>
        <w:jc w:val="both"/>
        <w:rPr>
          <w:rFonts w:ascii="Times New Roman" w:hAnsi="Times New Roman"/>
          <w:sz w:val="20"/>
        </w:rPr>
      </w:pPr>
      <w:r>
        <w:rPr>
          <w:rFonts w:ascii="Times New Roman" w:hAnsi="Times New Roman"/>
          <w:b/>
          <w:color w:val="000000"/>
          <w:sz w:val="20"/>
        </w:rPr>
        <w:t>Vendor Data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15, 2026, we became aware that certain electronic patient data, including protected health information, was extracted from the information technology systems of a vendor contracted by us to provide non-clinical, administrative services to us and our affiliated entities.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promptly notified relevant law enforcement and began an investigation into the nature and scope of the breach. That investigation did not find placement of malicious code on any of our systems and there has been no material interruption to our systems, services or business operations. We have taken steps to further strengthen our security environment, including with respect to the vendor at issue and based on the recommended actions of its incident response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continuing to evaluate the impact of this incident, including remediation expenses and other potential liabilities, we do not currently believe this incident will have a material adverse effect on our business, operations or financial results. We are in the process of identifying and notifying individuals whose information may have been involved in accordance with applicable regulatory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information regarding our Critical Accounting Policies and Estimates, see the “Critical Accounting Policies and Estimates” section of “Item 7. Management’s Discussion and Analysis of Financial Condition and Results of Operations” in our Annual Report on Form 10-K.</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in the notes accompanying our condensed consolidated financial statements included in this Quarterly Report on Form 10-Q for further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federal securities laws. All statements other than statements of historical fact contained in this Quarterly Report on Form 10-Q,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“may,” “would,” “should,” “expects,” “plans,” “anticipates,” “could,” “intends,” “target,” “projects,”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liquidity and stock price. These forward-looking statements speak only as of the date of this Quarterly Report on Form 10-Q and are subject to a number of risks, uncertainties and assumptions described in the section titled “Risk Factors” and elsewhere in our Annual Report on Form 10-K for the year ended December 31, 2025.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depends in large part on referrals from physicians and other healthcare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many of our costs are fixed, lower scan volumes or other decreases to revenues could adversely affect the profitability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and attract new business depends upon the quality of our services, our reputation and the professional reputations of our radiologists, joint venture partners and the third-party providers with whom we contract;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contracted radiology practices terminate their agreements with us, our business could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and our contracted radiology practices’ ability to hire and retain qualified radiologists and radiologic technologists, as well as our ability to hire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labor costs have been, and we expect they will continue to be, adversely affected by competition for staffing, the nationwide shortage of radiologists and experienced and skilled healthcare professionals and regulatory activity, including changes in minimum wage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joint ventures depend on existing relationships with key health system partners. If we are unable to maintain synergistic relationships with these health systems, or enter into new relationships with health systems, we may be unable to implement our business strategies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changes in general domestic and worldwide economic conditions could adversely affect our business, financial condition, results of operations, liquidity and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experience competition from other diagnostic imaging companies, hospitals and physician practices, and this competition could adversely affect our revenue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reimbursement rates paid by third-party governmental or commercial payors are reduced or if we fail to successfully manage the reimbursement and collections processes, our business, financial condition, results of operations, liquidity and stock price could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risks associated with our current and potential future use of AI;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threats and other disruption or malfunctions in our information technology systems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framework in which we operate is uncertain and continually evolving and complying with federal and state regulations is an expensive and time-consuming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trading price of our common stock exceeds certain levels at the time of a distribution from or liquidation of Holdings LLC, substantial dilution may result from the issuance of additional shares of our common stock in respect of certain outstanding Holdings LLC incentive units, which may adversely affect the trading price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discussed in the section titled “Risk Factors” in our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such as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—We generate all of our revenue and incur all of our expenses in United States dollars. As a result, our financial results are not affected by changes in foreign currency exchange rates.</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—We pay interest on various types of debt instruments. The related debt agreements entail either fixed or variable interest rates. Instruments which have fixed rates are mainly leases, equipment promissory notes and leasehold improvements. Variable rate interest obligations relate primarily to amounts borrowed under our senior secured credit facilities. Accordingly, our interest expense and consequently, our earnings, are affected by changes in short-term interest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two forward interest rate cap agreements with a notional amount of $1.2 billion (together, the “interest rate cap agreements”) to mitigate interest rate risk on SOFR variable interest rate changes on the Existing Term Loan. These agreements matured on March 31, 2025, and the SOFR variable interest rate was capped at 5.125% thereunder. The fair value of the interest rate cap agreements was estimated by utilizing the income approach and commonly accepted valuation techniques. These valuation techniques used inputs from closing prices for similar assets and liabilities in active markets as well as other relevant observable market inputs at quoted intervals such as current interest rates, forward yield curves, implied volatility and credit default swap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hypothetical 1% increase in the adjusted SOFR rates under the Refinancing Term Loan would result in an increase of approximately $8.2 million in annual interest expense and a corresponding decrease in income before taxes.</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our Principal Executive Officer and Principal Financial Officer evaluated our disclosure controls and procedures, as such term is defined in Rule 13a-15(e) and 15d-15(e) under the Securities Exchange Act of 1934, as amended (the “Exchange Act”). Based upon that evaluation, and due to the material weaknesses in internal controls described below, our Principal Executive Officer and Principal Financial Officer concluded that as of March 31, 2026, our disclosure controls and procedures were not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the Principal Executive Officer and Principal Financial Officer,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controls and procedures, no matter how well designed and operated, can provide only a reasonable level of assurance of achieving their desired control objectives, and our management is required to apply its judgment in evaluating the cost-benefit relationship of possible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Internal Controls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in connection with the preparation of our consolidated financial statements as of and for the years ended December 31, 2025, 2024 and 2023, our management identified material weaknesses in our internal control over financial reporting. The material weaknesses we identified were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with the appropriate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the finance and accounting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an effective risk assessment process at a precise enough level to identify and respond to risks of material misstatement. Specifically, changes to existing controls or the implementation of new controls have not been sufficient to respond to changes to the risks of material misstatement to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accounting for revenue from contracts with customers. Specifically, we did not formally document controls in place within the revenue cycle, including controls over our estimation process for the allowance for price concessions and controls to assess principal versus agent considerations within our revenue arrangements. This material weakness resulted in the restatement of our previously-issued financial statements and other audit adjustments that were immaterial;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to ensure adequate segregation of duties within our financial reporting function, including controls related to account reconciliations and journal entries. Specifically, certain personnel have incompatible duties including the ability to (a) create and post manual journal entries without an independent review and (b) prepare and review account reconciliations;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material weaknesses described above resulted in immaterial adjustments, which were recorded prior to the issuance of the consolidated financial statements as of and for the years ended 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information technology general controls for information systems that are relevant to the preparation of our financial statements. Specifically, we did not design and maintain: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program change management controls to ensure that program and data changes are identified, tested, authorized and implemented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user access controls to ensure appropriate segregation of duties and to adequately restrict user and privileged access to appropriate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computer operations controls to ensure that processing and transfer of data, and data back-ups and recovery are monitored;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program development controls to ensure that new software development is tested, authorized and implemented appropriately.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material weaknesses could result in a misstatement of substantially all of our account balances or disclosures that would result in a material misstatement to our annual or interim consolidated financial statements that would not be prevented or detected. Had we performed an evaluation of our internal control over financial reporting in accordance with Section 404 of the Sarbanes-Oxley Act, additional control deficiencies may have been identified by management, and those control deficiencies could have also represented one or more material weaknesses.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Remediation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an effort to remediate these material weaknesses, we have retained an accounting consulting firm to provide additional depth and breadth in our technical accounting and financial reporting capabilities. We have also hired and plan to hire additional qualified accounting, finance and information technology (“IT”) personnel to provide needed levels of expertise in our internal accounting and IT functions and maintain appropriate segregation of duties. We are also in the process of implementing additional technology platforms and related internal IT policies to support our internal controls. We intend to complete an appropriate risk assessment to identify relevant risks and specify needed objectives. We also intend to formalize and communicate our policies and procedures surrounding our financial close, financial reporting and other accounting processes. Furthermore, we intend to further develop and document necessary policies and procedures regarding our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material weaknesses will not be considered remediated until management completes the design and implementation of the measures described above, the controls operate for a sufficient period of time and management has concluded, through testing, that the controls are effective. Accordingly, the material weaknesses were not remediated as of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litigation arising in the ordinary course of our business, including litigation principally relating to professional liability. There can be no assurance that our insurance coverage and self-insured liabilities will be adequate to cover all liabilities occurring out of such claims. From time to time, we receive requests for information from government agencies in connection with their regulatory or investigational authority. Such requests can include subpoenas or demand letters for documents to assist the government in audits or investigations. We review such requests and notices and take appropriate action. We have been subject to certain requests for information and investigations and could be subject to such requests for information and investigations in the future. In the opinion of management, we are not engaged in any legal proceedings that we expect will have a material adverse effect on our business, financial condition, cash flows or results of our operations.</w:t>
      </w:r>
    </w:p>
    <w:p>
      <w:pPr>
        <w:pStyle w:val="TextBody"/>
        <w:bidi w:val="0"/>
        <w:spacing w:before="360" w:after="283"/>
        <w:jc w:val="left"/>
        <w:rPr>
          <w:rFonts w:ascii="Times New Roman" w:hAnsi="Times New Roman"/>
          <w:b/>
          <w:color w:val="000000"/>
          <w:sz w:val="20"/>
        </w:rPr>
      </w:pPr>
      <w:bookmarkStart w:id="14" w:name="item_1a_risk_factors_1"/>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information about the risks and uncertainties related to our business, please see Item 1A “Risk Factors” as described in our Annual Report on Form 10-K for the year ended December 31, 2025.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36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14, 2025, in connection with our formation, we sold 1,000 shares of our common stock to Holdings LLC for aggregate consideration of $1.00. No underwriters were involved in the foregoing sale of securities. The shares of our common stock described above were issued in reliance on the exemption contained in Section 4(a)(2) of the Securities Act on the basis that the transaction did not involve a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repurchase any of our common stock during the quarter ended March 31, 2026.</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_4_mine_safety_disclosures_1"/>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Disclosure in lieu of reporting on a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Material change to the procedures by which security holders may recommend nominees to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Insider Trading Arrangements and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quarterly period ended March 31, 2026, none of our officers (as defined in Rule 16a-1(f) under the Exchange Act) or directors adopted or terminated a Rule 10b5-1 trading plan or a non-Rule 10b5-1 trading arrangement (as defined in Item 408(c)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10_1.htm">
              <w:r>
                <w:rPr>
                  <w:rStyle w:val="InternetLink"/>
                  <w:rFonts w:ascii="Times New Roman" w:hAnsi="Times New Roman"/>
                  <w:color w:val="0000FF"/>
                  <w:sz w:val="20"/>
                  <w:u w:val="single"/>
                </w:rPr>
                <w:t>Amendment No. 6 to Credit Agreement, dated as of March 30, 2026, among Lumexa Imaging, Inc. and Lumexa Imaging Outpatient, Inc., as borrowers, and Barclays Bank PLC, as administrative agent.</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lmr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1741"/>
        <w:gridCol w:w="146"/>
        <w:gridCol w:w="434"/>
        <w:gridCol w:w="22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Lumexa Imaging Holdings,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lmri-ex10_1.htm"/>
      <w:bookmarkStart w:id="22" w:name="kslmriex10_1"/>
      <w:bookmarkEnd w:id="21"/>
      <w:bookmarkEnd w:id="22"/>
      <w:r>
        <w:rPr>
          <w:rFonts w:ascii="Times New Roman" w:hAnsi="Times New Roman"/>
          <w:b/>
          <w:color w:val="000000"/>
          <w:sz w:val="22"/>
        </w:rPr>
        <w:t>Exhibit 10.1</w:t>
      </w:r>
      <w:r>
        <w:br w:type="page"/>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AMENDMENT No. 6</w:t>
      </w:r>
    </w:p>
    <w:p>
      <w:pPr>
        <w:pStyle w:val="TextBody"/>
        <w:bidi w:val="0"/>
        <w:spacing w:before="0" w:after="240"/>
        <w:jc w:val="both"/>
        <w:rPr>
          <w:rFonts w:ascii="Times New Roman" w:hAnsi="Times New Roman"/>
          <w:sz w:val="20"/>
        </w:rPr>
      </w:pPr>
      <w:r>
        <w:rPr>
          <w:rFonts w:ascii="Times New Roman" w:hAnsi="Times New Roman"/>
          <w:color w:val="000000"/>
          <w:sz w:val="22"/>
        </w:rPr>
        <w:t>AMENDMENT NO. 6, dated as of March 30, 2026 (this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by and among LUMEXA IMAGING, INC., a Delaware corporation (the “</w:t>
      </w:r>
      <w:r>
        <w:rPr>
          <w:rFonts w:ascii="Times New Roman" w:hAnsi="Times New Roman"/>
          <w:b/>
          <w:color w:val="000000"/>
          <w:sz w:val="22"/>
        </w:rPr>
        <w:t>LII Borrower</w:t>
      </w:r>
      <w:r>
        <w:rPr>
          <w:rFonts w:ascii="Times New Roman" w:hAnsi="Times New Roman"/>
          <w:color w:val="000000"/>
          <w:sz w:val="20"/>
        </w:rPr>
        <w:t>”</w:t>
      </w:r>
      <w:r>
        <w:rPr>
          <w:rFonts w:ascii="Times New Roman" w:hAnsi="Times New Roman"/>
          <w:color w:val="000000"/>
          <w:sz w:val="22"/>
        </w:rPr>
        <w:t>), LUMEXA IMAGING OUTPATIENT, INC., a Delaware corporation (the “</w:t>
      </w:r>
      <w:r>
        <w:rPr>
          <w:rFonts w:ascii="Times New Roman" w:hAnsi="Times New Roman"/>
          <w:b/>
          <w:color w:val="000000"/>
          <w:sz w:val="22"/>
        </w:rPr>
        <w:t>LIO Borrower</w:t>
      </w:r>
      <w:r>
        <w:rPr>
          <w:rFonts w:ascii="Times New Roman" w:hAnsi="Times New Roman"/>
          <w:color w:val="000000"/>
          <w:sz w:val="20"/>
        </w:rPr>
        <w:t xml:space="preserve">” </w:t>
      </w:r>
      <w:r>
        <w:rPr>
          <w:rFonts w:ascii="Times New Roman" w:hAnsi="Times New Roman"/>
          <w:color w:val="000000"/>
          <w:sz w:val="22"/>
        </w:rPr>
        <w:t>and together with the LII Borrower, the “</w:t>
      </w:r>
      <w:r>
        <w:rPr>
          <w:rFonts w:ascii="Times New Roman" w:hAnsi="Times New Roman"/>
          <w:b/>
          <w:color w:val="000000"/>
          <w:sz w:val="22"/>
        </w:rPr>
        <w:t>Borrowers</w:t>
      </w:r>
      <w:r>
        <w:rPr>
          <w:rFonts w:ascii="Times New Roman" w:hAnsi="Times New Roman"/>
          <w:color w:val="000000"/>
          <w:sz w:val="20"/>
        </w:rPr>
        <w:t>”</w:t>
      </w:r>
      <w:r>
        <w:rPr>
          <w:rFonts w:ascii="Times New Roman" w:hAnsi="Times New Roman"/>
          <w:color w:val="000000"/>
          <w:sz w:val="22"/>
        </w:rPr>
        <w:t>) and Barclays Bank PLC, as administrative agent (in such capacity, including any successor thereto, the “</w:t>
      </w:r>
      <w:r>
        <w:rPr>
          <w:rFonts w:ascii="Times New Roman" w:hAnsi="Times New Roman"/>
          <w:b/>
          <w:color w:val="000000"/>
          <w:sz w:val="22"/>
        </w:rPr>
        <w:t>Administrative 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360"/>
        <w:jc w:val="center"/>
        <w:rPr>
          <w:rFonts w:ascii="Times New Roman" w:hAnsi="Times New Roman"/>
          <w:color w:val="000000"/>
          <w:sz w:val="22"/>
          <w:u w:val="single"/>
        </w:rPr>
      </w:pPr>
      <w:r>
        <w:rPr>
          <w:rFonts w:ascii="Times New Roman" w:hAnsi="Times New Roman"/>
          <w:color w:val="000000"/>
          <w:sz w:val="22"/>
          <w:u w:val="single"/>
        </w:rPr>
        <w:t>W I T N E S S E T H</w:t>
      </w:r>
    </w:p>
    <w:p>
      <w:pPr>
        <w:pStyle w:val="TextBody"/>
        <w:bidi w:val="0"/>
        <w:spacing w:before="0" w:after="240"/>
        <w:jc w:val="both"/>
        <w:rPr>
          <w:rFonts w:ascii="Times New Roman" w:hAnsi="Times New Roman"/>
          <w:sz w:val="20"/>
        </w:rPr>
      </w:pPr>
      <w:r>
        <w:rPr>
          <w:rFonts w:ascii="Times New Roman" w:hAnsi="Times New Roman"/>
          <w:color w:val="000000"/>
          <w:sz w:val="22"/>
        </w:rPr>
        <w:t>WHEREAS, pursuant to that certain Credit Agreement, dated as of December 15, 2020 (as amended or otherwise modified by Incremental Amendment No. 1, dated as of December 31, 2021, Amendment No. 2, dated as of March 21, 2023, Amendment No. 3, dated as of July 16, 2024, Amendment No. 4, dated as of November 22, 2024, Amendment No. 5, dated as of December 17, 2025 and as further amended, restated, amended and restated, supplemented or otherwise modified from time to time prior to the date hereof, the “</w:t>
      </w:r>
      <w:r>
        <w:rPr>
          <w:rFonts w:ascii="Times New Roman" w:hAnsi="Times New Roman"/>
          <w:b/>
          <w:color w:val="000000"/>
          <w:sz w:val="22"/>
        </w:rPr>
        <w:t>Credit Agreement</w:t>
      </w:r>
      <w:r>
        <w:rPr>
          <w:rFonts w:ascii="Times New Roman" w:hAnsi="Times New Roman"/>
          <w:color w:val="000000"/>
          <w:sz w:val="20"/>
        </w:rPr>
        <w:t>”</w:t>
      </w:r>
      <w:r>
        <w:rPr>
          <w:rFonts w:ascii="Times New Roman" w:hAnsi="Times New Roman"/>
          <w:color w:val="000000"/>
          <w:sz w:val="22"/>
        </w:rPr>
        <w:t>), by and among the Borrowers, Lumexa Imaging Intermediate Holdings, Inc., a Delaware corporation, Lumexa Imaging Outpatient Intermediate Holdings, Inc., a Delaware corporation, the several banks and other financial institutions or entities from time to time parties thereto (the “</w:t>
      </w:r>
      <w:r>
        <w:rPr>
          <w:rFonts w:ascii="Times New Roman" w:hAnsi="Times New Roman"/>
          <w:b/>
          <w:color w:val="000000"/>
          <w:sz w:val="22"/>
        </w:rPr>
        <w:t>Lenders</w:t>
      </w:r>
      <w:r>
        <w:rPr>
          <w:rFonts w:ascii="Times New Roman" w:hAnsi="Times New Roman"/>
          <w:color w:val="000000"/>
          <w:sz w:val="20"/>
        </w:rPr>
        <w:t>”</w:t>
      </w:r>
      <w:r>
        <w:rPr>
          <w:rFonts w:ascii="Times New Roman" w:hAnsi="Times New Roman"/>
          <w:color w:val="000000"/>
          <w:sz w:val="22"/>
        </w:rPr>
        <w:t>), the Administrative Agent and the other parties thereto, the Lenders have agreed to make, and have made, certain loans and other extensions of credit to the Borrowers;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and in accordance with Section 10.01(3)(b) of the Credit Agreement, the Administrative Agent and the Borrowers may amend the Credit Agreement to cure any obvious errors, mistakes, ambiguities, incorrect cross-references or any errors or omissions of a technical or immaterial 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Administrative Agent and the Borrowers desire to amend the Credit Agreement in accordance with Section 10.01(3)(b) as further described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mutual covenants contained herein, the parties hereto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w:t>
      </w:r>
    </w:p>
    <w:p>
      <w:pPr>
        <w:pStyle w:val="TextBody"/>
        <w:bidi w:val="0"/>
        <w:spacing w:before="0" w:after="240"/>
        <w:jc w:val="both"/>
        <w:rPr/>
      </w:pPr>
      <w:r>
        <w:rPr>
          <w:rFonts w:ascii="Times New Roman" w:hAnsi="Times New Roman"/>
          <w:color w:val="000000"/>
          <w:sz w:val="22"/>
          <w:u w:val="single"/>
        </w:rPr>
        <w:t>Defined Terms</w:t>
      </w:r>
      <w:r>
        <w:rPr>
          <w:rFonts w:ascii="Times New Roman" w:hAnsi="Times New Roman"/>
          <w:color w:val="000000"/>
          <w:sz w:val="22"/>
        </w:rPr>
        <w:t xml:space="preserve">. Capitalized terms used but not defined herein shall have the meanings assigned to such terms in the Credit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2.</w:t>
      </w:r>
    </w:p>
    <w:p>
      <w:pPr>
        <w:pStyle w:val="TextBody"/>
        <w:bidi w:val="0"/>
        <w:spacing w:before="0" w:after="240"/>
        <w:jc w:val="both"/>
        <w:rPr/>
      </w:pPr>
      <w:r>
        <w:rPr>
          <w:rFonts w:ascii="Times New Roman" w:hAnsi="Times New Roman"/>
          <w:color w:val="000000"/>
          <w:sz w:val="22"/>
          <w:u w:val="single"/>
        </w:rPr>
        <w:t>Amendment</w:t>
      </w:r>
      <w:r>
        <w:rPr>
          <w:rFonts w:ascii="Times New Roman" w:hAnsi="Times New Roman"/>
          <w:color w:val="000000"/>
          <w:sz w:val="22"/>
        </w:rPr>
        <w:t>. In order to correct an obvious error in certain dates referenced in the Credit Agreement, the Credit Agreement is hereby amended as follows effective as of December 17, 2025: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1.01 of the Credit Agreement is hereby amended by replacing “December 31, 2021” with “December 31, 2027” in clause (2) of the definition of “Compliance Certificate”;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2.05(2)(a) of the Credit Agreement is hereby amended by replacing “December 31, 2021” with “December 31, 2027”.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Conditions to Effectiveness</w:t>
      </w:r>
      <w:r>
        <w:rPr>
          <w:rFonts w:ascii="Times New Roman" w:hAnsi="Times New Roman"/>
          <w:color w:val="000000"/>
          <w:sz w:val="22"/>
        </w:rPr>
        <w:t xml:space="preserve">. The effectiveness of this Amendment is subject to the Administrative Agent receiving a counterpart of this Amendment, executed and delivered by each Borrower and the Administrative Agent.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4.</w:t>
      </w:r>
    </w:p>
    <w:p>
      <w:pPr>
        <w:pStyle w:val="TextBody"/>
        <w:bidi w:val="0"/>
        <w:spacing w:before="0" w:after="240"/>
        <w:jc w:val="both"/>
        <w:rPr/>
      </w:pPr>
      <w:r>
        <w:rPr>
          <w:rFonts w:ascii="Times New Roman" w:hAnsi="Times New Roman"/>
          <w:color w:val="000000"/>
          <w:sz w:val="22"/>
          <w:u w:val="single"/>
        </w:rPr>
        <w:t>Continuing Effect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expressly provided herein, all of the terms and provisions of the Credit Agreement and the other Loan Documents are and shall remain in full force and effect. The amendments provided for herein are limited to the specific subsections of the Credit Agreement specified herein and shall not constitute a consent, waiver or amendment of, or an indication of the Administrative Agent’s or the Lenders’ willingness to consent to any action requiring consent under any other provisions of the Credit Agreement or any other Loan Document or the same subsection for any other date or time period. Upon the effectiveness of the amendments set forth herein,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 as amended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Borrowers and the other parties hereto acknowledge and agree that this Amendment shall constitute a “Loan Document”.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5.</w:t>
      </w:r>
    </w:p>
    <w:p>
      <w:pPr>
        <w:pStyle w:val="TextBody"/>
        <w:bidi w:val="0"/>
        <w:spacing w:before="0" w:after="240"/>
        <w:jc w:val="both"/>
        <w:rPr/>
      </w:pPr>
      <w:r>
        <w:rPr>
          <w:rFonts w:ascii="Times New Roman" w:hAnsi="Times New Roman"/>
          <w:color w:val="000000"/>
          <w:sz w:val="22"/>
          <w:u w:val="single"/>
        </w:rPr>
        <w:t>Amendments; Execution in Counterparts</w:t>
      </w:r>
      <w:r>
        <w:rPr>
          <w:rFonts w:ascii="Times New Roman" w:hAnsi="Times New Roman"/>
          <w:color w:val="000000"/>
          <w:sz w:val="22"/>
        </w:rPr>
        <w:t xml:space="preserve">. This Amendment, or any of the terms hereof, may not be amended, supplemented or modified, nor may any provision hereof be waived, except pursuant to a writing signed by the Borrowers and the Administrative Agent. This Amendment may be executed in counterparts (and by different parties hereto on different counterparts), each of which shall constitute an original, but all of which when taken together shall constitute a single contract. The provisions of Section 10.13 of the Credit Agreement shall 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6.</w:t>
      </w:r>
    </w:p>
    <w:p>
      <w:pPr>
        <w:pStyle w:val="TextBody"/>
        <w:bidi w:val="0"/>
        <w:spacing w:before="0" w:after="240"/>
        <w:jc w:val="both"/>
        <w:rPr/>
      </w:pPr>
      <w:r>
        <w:rPr>
          <w:rFonts w:ascii="Times New Roman" w:hAnsi="Times New Roman"/>
          <w:color w:val="000000"/>
          <w:sz w:val="22"/>
          <w:u w:val="single"/>
        </w:rPr>
        <w:t>GOVERNING LAW; WAIVER OF JURY TRIAL</w:t>
      </w:r>
      <w:r>
        <w:rPr>
          <w:rFonts w:ascii="Times New Roman" w:hAnsi="Times New Roman"/>
          <w:color w:val="000000"/>
          <w:sz w:val="22"/>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THIS AMENDMENT SHALL BE CONSTRUED IN ACCORDANCE WITH AND GOVERNED BY THE LAW OF THE STATE OF NEW YORK.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PARTY HERETO HEREBY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provisions of Section 10.16(2) of the Credit Agreement shall 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the parties hereto have caused this Amendment to be duly executed and delivered by their respective proper and duly authorized officers as of the day and year first above written.</w:t>
      </w:r>
    </w:p>
    <w:p>
      <w:pPr>
        <w:pStyle w:val="TextBody"/>
        <w:bidi w:val="0"/>
        <w:jc w:val="left"/>
        <w:rPr>
          <w:rFonts w:ascii="Times New Roman" w:hAnsi="Times New Roman"/>
          <w:b/>
          <w:color w:val="000000"/>
          <w:sz w:val="22"/>
        </w:rPr>
      </w:pPr>
      <w:r>
        <w:rPr>
          <w:rFonts w:ascii="Times New Roman" w:hAnsi="Times New Roman"/>
          <w:b/>
          <w:color w:val="000000"/>
          <w:sz w:val="22"/>
        </w:rPr>
        <w:t>LUMEXA IMAGING, INC.</w:t>
      </w:r>
    </w:p>
    <w:p>
      <w:pPr>
        <w:pStyle w:val="TextBody"/>
        <w:bidi w:val="0"/>
        <w:spacing w:before="0" w:after="600"/>
        <w:jc w:val="left"/>
        <w:rPr>
          <w:rFonts w:ascii="Times New Roman" w:hAnsi="Times New Roman"/>
          <w:b/>
          <w:color w:val="000000"/>
          <w:sz w:val="22"/>
        </w:rPr>
      </w:pPr>
      <w:r>
        <w:rPr>
          <w:rFonts w:ascii="Times New Roman" w:hAnsi="Times New Roman"/>
          <w:b/>
          <w:color w:val="000000"/>
          <w:sz w:val="22"/>
        </w:rPr>
        <w:t>LUMEXA IMAGING OUTPATIENT, INC.</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Caitlin Zulla </w:t>
      </w:r>
    </w:p>
    <w:p>
      <w:pPr>
        <w:pStyle w:val="TextBody"/>
        <w:bidi w:val="0"/>
        <w:jc w:val="both"/>
        <w:rPr>
          <w:rFonts w:ascii="Times New Roman" w:hAnsi="Times New Roman"/>
          <w:color w:val="000000"/>
          <w:sz w:val="22"/>
        </w:rPr>
      </w:pPr>
      <w:r>
        <w:rPr>
          <w:rFonts w:ascii="Times New Roman" w:hAnsi="Times New Roman"/>
          <w:color w:val="000000"/>
          <w:sz w:val="22"/>
        </w:rPr>
        <w:t>Name: Caitlin Zulla</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spacing w:before="0" w:after="240"/>
        <w:jc w:val="left"/>
        <w:rPr>
          <w:rFonts w:ascii="Times New Roman" w:hAnsi="Times New Roman"/>
          <w:sz w:val="20"/>
        </w:rPr>
      </w:pPr>
      <w:r>
        <w:rPr>
          <w:rFonts w:ascii="Times New Roman" w:hAnsi="Times New Roman"/>
          <w:b/>
          <w:color w:val="000000"/>
          <w:sz w:val="22"/>
        </w:rPr>
        <w:t>BARCLAYS BANK PLC</w:t>
      </w:r>
      <w:r>
        <w:rPr>
          <w:rFonts w:ascii="Times New Roman" w:hAnsi="Times New Roman"/>
          <w:color w:val="000000"/>
          <w:sz w:val="22"/>
        </w:rPr>
        <w:t>, as Administrative Agent</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Ronnie Glenn </w:t>
      </w:r>
    </w:p>
    <w:p>
      <w:pPr>
        <w:pStyle w:val="TextBody"/>
        <w:bidi w:val="0"/>
        <w:jc w:val="left"/>
        <w:rPr>
          <w:rFonts w:ascii="Times New Roman" w:hAnsi="Times New Roman"/>
          <w:color w:val="000000"/>
          <w:sz w:val="22"/>
        </w:rPr>
      </w:pPr>
      <w:r>
        <w:rPr>
          <w:rFonts w:ascii="Times New Roman" w:hAnsi="Times New Roman"/>
          <w:color w:val="000000"/>
          <w:sz w:val="22"/>
        </w:rPr>
        <w:t>Name: Ronnie Glenn</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Director</w:t>
      </w:r>
    </w:p>
    <w:p>
      <w:pPr>
        <w:pStyle w:val="TextBody"/>
        <w:bidi w:val="0"/>
        <w:jc w:val="center"/>
        <w:rPr>
          <w:rFonts w:ascii="Times New Roman" w:hAnsi="Times New Roman"/>
          <w:color w:val="000000"/>
          <w:sz w:val="20"/>
        </w:rPr>
      </w:pPr>
      <w:r>
        <w:rPr>
          <w:rFonts w:ascii="Times New Roman" w:hAnsi="Times New Roman"/>
          <w:color w:val="000000"/>
          <w:sz w:val="20"/>
        </w:rPr>
        <w:t>[Signature Page to Amendment No. 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mri-ex31_1.htm"/>
      <w:bookmarkStart w:id="24" w:name="kslmri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Caitlin Zulla,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Lumexa Imaging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24" w:type="dxa"/>
        <w:jc w:val="left"/>
        <w:tblInd w:w="0" w:type="dxa"/>
        <w:tblLayout w:type="fixed"/>
        <w:tblCellMar>
          <w:top w:w="28" w:type="dxa"/>
          <w:left w:w="28" w:type="dxa"/>
          <w:bottom w:w="28" w:type="dxa"/>
          <w:right w:w="28" w:type="dxa"/>
        </w:tblCellMar>
      </w:tblPr>
      <w:tblGrid>
        <w:gridCol w:w="1741"/>
        <w:gridCol w:w="146"/>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mri-ex31_2.htm"/>
      <w:bookmarkStart w:id="26" w:name="kslmri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 Anthony Martin,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Lumexa Imaging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741"/>
        <w:gridCol w:w="146"/>
        <w:gridCol w:w="406"/>
        <w:gridCol w:w="21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Anthony Martin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Anthony Martin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mri-ex32_1.htm"/>
      <w:bookmarkStart w:id="28" w:name="kslmriex32_1"/>
      <w:bookmarkEnd w:id="27"/>
      <w:bookmarkEnd w:id="28"/>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Lumexa Imaging Holdings, Inc. (the “Company”) on Form 10-Q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424" w:type="dxa"/>
        <w:jc w:val="left"/>
        <w:tblInd w:w="0" w:type="dxa"/>
        <w:tblLayout w:type="fixed"/>
        <w:tblCellMar>
          <w:top w:w="28" w:type="dxa"/>
          <w:left w:w="28" w:type="dxa"/>
          <w:bottom w:w="28" w:type="dxa"/>
          <w:right w:w="28" w:type="dxa"/>
        </w:tblCellMar>
      </w:tblPr>
      <w:tblGrid>
        <w:gridCol w:w="1741"/>
        <w:gridCol w:w="146"/>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Caitlin Zulla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mri-ex32_2.htm"/>
      <w:bookmarkStart w:id="30" w:name="kslmri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Lumexa Imaging Holdings, Inc. (the “Company”) on Form 10-Q for the quarterly period ended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741"/>
        <w:gridCol w:w="146"/>
        <w:gridCol w:w="406"/>
        <w:gridCol w:w="21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Anthony Martin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 Anthony Martin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27035</Words>
  <Characters>155572</Characters>
  <CharactersWithSpaces>183520</CharactersWithSpaces>
  <Paragraphs>5125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