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Lumexa Imaging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BROWN ADVISORY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5,487,188.00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5,837,497.00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5,842,935.00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6.08 %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09"/>
        <w:gridCol w:w="8196"/>
      </w:tblGrid>
      <w:tr>
        <w:trPr/>
        <w:tc>
          <w:tcPr>
            <w:tcW w:w="2009" w:type="dxa"/>
            <w:tcBorders/>
            <w:vAlign w:val="center"/>
          </w:tcPr>
          <w:p>
            <w:pPr>
              <w:pStyle w:val="TableContents"/>
              <w:bidi w:val="0"/>
              <w:spacing w:before="0" w:after="283"/>
              <w:jc w:val="left"/>
              <w:rPr/>
            </w:pPr>
            <w:r>
              <w:rPr/>
              <w:t>1</w:t>
            </w:r>
          </w:p>
        </w:tc>
        <w:tc>
          <w:tcPr>
            <w:tcW w:w="819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BROWN INVESTMENT ADVISORY &amp; TRUST CO</w:t>
            </w:r>
          </w:p>
        </w:tc>
      </w:tr>
      <w:tr>
        <w:trPr/>
        <w:tc>
          <w:tcPr>
            <w:tcW w:w="2009" w:type="dxa"/>
            <w:tcBorders/>
            <w:vAlign w:val="center"/>
          </w:tcPr>
          <w:p>
            <w:pPr>
              <w:pStyle w:val="TableContents"/>
              <w:bidi w:val="0"/>
              <w:spacing w:before="0" w:after="283"/>
              <w:jc w:val="left"/>
              <w:rPr/>
            </w:pPr>
            <w:r>
              <w:rPr/>
              <w:t>2</w:t>
            </w:r>
          </w:p>
        </w:tc>
        <w:tc>
          <w:tcPr>
            <w:tcW w:w="819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09" w:type="dxa"/>
            <w:tcBorders/>
            <w:vAlign w:val="center"/>
          </w:tcPr>
          <w:p>
            <w:pPr>
              <w:pStyle w:val="TableContents"/>
              <w:bidi w:val="0"/>
              <w:spacing w:before="0" w:after="283"/>
              <w:jc w:val="left"/>
              <w:rPr/>
            </w:pPr>
            <w:r>
              <w:rPr/>
              <w:t>3</w:t>
            </w:r>
          </w:p>
        </w:tc>
        <w:tc>
          <w:tcPr>
            <w:tcW w:w="8196" w:type="dxa"/>
            <w:tcBorders/>
            <w:vAlign w:val="center"/>
          </w:tcPr>
          <w:p>
            <w:pPr>
              <w:pStyle w:val="TableContents"/>
              <w:bidi w:val="0"/>
              <w:spacing w:before="0" w:after="283"/>
              <w:jc w:val="left"/>
              <w:rPr/>
            </w:pPr>
            <w:r>
              <w:rPr/>
              <w:t>Sec Use Only</w:t>
            </w:r>
          </w:p>
        </w:tc>
      </w:tr>
      <w:tr>
        <w:trPr/>
        <w:tc>
          <w:tcPr>
            <w:tcW w:w="2009" w:type="dxa"/>
            <w:tcBorders/>
            <w:vAlign w:val="center"/>
          </w:tcPr>
          <w:p>
            <w:pPr>
              <w:pStyle w:val="TableContents"/>
              <w:bidi w:val="0"/>
              <w:spacing w:before="0" w:after="283"/>
              <w:jc w:val="left"/>
              <w:rPr/>
            </w:pPr>
            <w:r>
              <w:rPr/>
              <w:t>4</w:t>
            </w:r>
          </w:p>
        </w:tc>
        <w:tc>
          <w:tcPr>
            <w:tcW w:w="819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00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75,048.00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69,610.00</w:t>
                  </w:r>
                </w:p>
              </w:tc>
            </w:tr>
          </w:tbl>
          <w:p>
            <w:pPr>
              <w:pStyle w:val="TableContents"/>
              <w:bidi w:val="0"/>
              <w:spacing w:before="0" w:after="283"/>
              <w:jc w:val="left"/>
              <w:rPr/>
            </w:pPr>
            <w:r>
              <w:rPr/>
            </w:r>
          </w:p>
        </w:tc>
        <w:tc>
          <w:tcPr>
            <w:tcW w:w="8196" w:type="dxa"/>
            <w:tcBorders/>
            <w:vAlign w:val="center"/>
          </w:tcPr>
          <w:p>
            <w:pPr>
              <w:pStyle w:val="TableContents"/>
              <w:bidi w:val="0"/>
              <w:spacing w:before="0" w:after="283"/>
              <w:jc w:val="left"/>
              <w:rPr>
                <w:sz w:val="4"/>
                <w:szCs w:val="4"/>
              </w:rPr>
            </w:pPr>
            <w:r>
              <w:rPr>
                <w:sz w:val="4"/>
                <w:szCs w:val="4"/>
              </w:rPr>
            </w:r>
          </w:p>
        </w:tc>
      </w:tr>
      <w:tr>
        <w:trPr/>
        <w:tc>
          <w:tcPr>
            <w:tcW w:w="2009" w:type="dxa"/>
            <w:tcBorders/>
            <w:vAlign w:val="center"/>
          </w:tcPr>
          <w:p>
            <w:pPr>
              <w:pStyle w:val="TableContents"/>
              <w:bidi w:val="0"/>
              <w:spacing w:before="0" w:after="283"/>
              <w:jc w:val="left"/>
              <w:rPr/>
            </w:pPr>
            <w:r>
              <w:rPr/>
              <w:t>9</w:t>
            </w:r>
          </w:p>
        </w:tc>
        <w:tc>
          <w:tcPr>
            <w:tcW w:w="819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75,048.00</w:t>
            </w:r>
          </w:p>
        </w:tc>
      </w:tr>
      <w:tr>
        <w:trPr/>
        <w:tc>
          <w:tcPr>
            <w:tcW w:w="2009" w:type="dxa"/>
            <w:tcBorders/>
            <w:vAlign w:val="center"/>
          </w:tcPr>
          <w:p>
            <w:pPr>
              <w:pStyle w:val="TableContents"/>
              <w:bidi w:val="0"/>
              <w:spacing w:before="0" w:after="283"/>
              <w:jc w:val="left"/>
              <w:rPr/>
            </w:pPr>
            <w:r>
              <w:rPr/>
              <w:t>10</w:t>
            </w:r>
          </w:p>
        </w:tc>
        <w:tc>
          <w:tcPr>
            <w:tcW w:w="819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09" w:type="dxa"/>
            <w:tcBorders/>
            <w:vAlign w:val="center"/>
          </w:tcPr>
          <w:p>
            <w:pPr>
              <w:pStyle w:val="TableContents"/>
              <w:bidi w:val="0"/>
              <w:spacing w:before="0" w:after="283"/>
              <w:jc w:val="left"/>
              <w:rPr/>
            </w:pPr>
            <w:r>
              <w:rPr/>
              <w:t>11</w:t>
            </w:r>
          </w:p>
        </w:tc>
        <w:tc>
          <w:tcPr>
            <w:tcW w:w="819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0.08 % </w:t>
            </w:r>
          </w:p>
        </w:tc>
      </w:tr>
      <w:tr>
        <w:trPr/>
        <w:tc>
          <w:tcPr>
            <w:tcW w:w="2009" w:type="dxa"/>
            <w:tcBorders/>
            <w:vAlign w:val="center"/>
          </w:tcPr>
          <w:p>
            <w:pPr>
              <w:pStyle w:val="TableContents"/>
              <w:bidi w:val="0"/>
              <w:spacing w:before="0" w:after="283"/>
              <w:jc w:val="left"/>
              <w:rPr/>
            </w:pPr>
            <w:r>
              <w:rPr/>
              <w:t>12</w:t>
            </w:r>
          </w:p>
        </w:tc>
        <w:tc>
          <w:tcPr>
            <w:tcW w:w="819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BK</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1</w:t>
            </w:r>
          </w:p>
        </w:tc>
        <w:tc>
          <w:tcPr>
            <w:tcW w:w="82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SIGNATURE FINANCIAL MANAGEMENT, INC.</w:t>
            </w:r>
          </w:p>
        </w:tc>
      </w:tr>
      <w:tr>
        <w:trPr/>
        <w:tc>
          <w:tcPr>
            <w:tcW w:w="1993" w:type="dxa"/>
            <w:tcBorders/>
            <w:vAlign w:val="center"/>
          </w:tcPr>
          <w:p>
            <w:pPr>
              <w:pStyle w:val="TableContents"/>
              <w:bidi w:val="0"/>
              <w:spacing w:before="0" w:after="283"/>
              <w:jc w:val="left"/>
              <w:rPr/>
            </w:pPr>
            <w:r>
              <w:rPr/>
              <w:t>2</w:t>
            </w:r>
          </w:p>
        </w:tc>
        <w:tc>
          <w:tcPr>
            <w:tcW w:w="82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93" w:type="dxa"/>
            <w:tcBorders/>
            <w:vAlign w:val="center"/>
          </w:tcPr>
          <w:p>
            <w:pPr>
              <w:pStyle w:val="TableContents"/>
              <w:bidi w:val="0"/>
              <w:spacing w:before="0" w:after="283"/>
              <w:jc w:val="left"/>
              <w:rPr/>
            </w:pPr>
            <w:r>
              <w:rPr/>
              <w:t>3</w:t>
            </w:r>
          </w:p>
        </w:tc>
        <w:tc>
          <w:tcPr>
            <w:tcW w:w="8212" w:type="dxa"/>
            <w:tcBorders/>
            <w:vAlign w:val="center"/>
          </w:tcPr>
          <w:p>
            <w:pPr>
              <w:pStyle w:val="TableContents"/>
              <w:bidi w:val="0"/>
              <w:spacing w:before="0" w:after="283"/>
              <w:jc w:val="left"/>
              <w:rPr/>
            </w:pPr>
            <w:r>
              <w:rPr/>
              <w:t>Sec Use Only</w:t>
            </w:r>
          </w:p>
        </w:tc>
      </w:tr>
      <w:tr>
        <w:trPr/>
        <w:tc>
          <w:tcPr>
            <w:tcW w:w="1993" w:type="dxa"/>
            <w:tcBorders/>
            <w:vAlign w:val="center"/>
          </w:tcPr>
          <w:p>
            <w:pPr>
              <w:pStyle w:val="TableContents"/>
              <w:bidi w:val="0"/>
              <w:spacing w:before="0" w:after="283"/>
              <w:jc w:val="left"/>
              <w:rPr/>
            </w:pPr>
            <w:r>
              <w:rPr/>
              <w:t>4</w:t>
            </w:r>
          </w:p>
        </w:tc>
        <w:tc>
          <w:tcPr>
            <w:tcW w:w="82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VIRGINIA </w:t>
            </w:r>
          </w:p>
        </w:tc>
      </w:tr>
      <w:tr>
        <w:trPr/>
        <w:tc>
          <w:tcPr>
            <w:tcW w:w="19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4,353.00</w:t>
                  </w:r>
                </w:p>
              </w:tc>
            </w:tr>
          </w:tbl>
          <w:p>
            <w:pPr>
              <w:pStyle w:val="TableContents"/>
              <w:bidi w:val="0"/>
              <w:spacing w:before="0" w:after="283"/>
              <w:jc w:val="left"/>
              <w:rPr/>
            </w:pPr>
            <w:r>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9</w:t>
            </w:r>
          </w:p>
        </w:tc>
        <w:tc>
          <w:tcPr>
            <w:tcW w:w="82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4,353.00</w:t>
            </w:r>
          </w:p>
        </w:tc>
      </w:tr>
      <w:tr>
        <w:trPr/>
        <w:tc>
          <w:tcPr>
            <w:tcW w:w="1993" w:type="dxa"/>
            <w:tcBorders/>
            <w:vAlign w:val="center"/>
          </w:tcPr>
          <w:p>
            <w:pPr>
              <w:pStyle w:val="TableContents"/>
              <w:bidi w:val="0"/>
              <w:spacing w:before="0" w:after="283"/>
              <w:jc w:val="left"/>
              <w:rPr/>
            </w:pPr>
            <w:r>
              <w:rPr/>
              <w:t>10</w:t>
            </w:r>
          </w:p>
        </w:tc>
        <w:tc>
          <w:tcPr>
            <w:tcW w:w="82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93" w:type="dxa"/>
            <w:tcBorders/>
            <w:vAlign w:val="center"/>
          </w:tcPr>
          <w:p>
            <w:pPr>
              <w:pStyle w:val="TableContents"/>
              <w:bidi w:val="0"/>
              <w:spacing w:before="0" w:after="283"/>
              <w:jc w:val="left"/>
              <w:rPr/>
            </w:pPr>
            <w:r>
              <w:rPr/>
              <w:t>11</w:t>
            </w:r>
          </w:p>
        </w:tc>
        <w:tc>
          <w:tcPr>
            <w:tcW w:w="82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1993" w:type="dxa"/>
            <w:tcBorders/>
            <w:vAlign w:val="center"/>
          </w:tcPr>
          <w:p>
            <w:pPr>
              <w:pStyle w:val="TableContents"/>
              <w:bidi w:val="0"/>
              <w:spacing w:before="0" w:after="283"/>
              <w:jc w:val="left"/>
              <w:rPr/>
            </w:pPr>
            <w:r>
              <w:rPr/>
              <w:t>12</w:t>
            </w:r>
          </w:p>
        </w:tc>
        <w:tc>
          <w:tcPr>
            <w:tcW w:w="82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BROWN ADVISORY LLC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5,408,550.00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5,763,534.00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5,763,534.00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Lumexa Imaging Holdings,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4200 SIX FORKS ROAD, SUITE 1000, RALEIGH, NORTH CAROLINA 27609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BROWN ADVISORY INC BROWN INVESTMENT ADVISORY &amp; TRUST CO SIGNATURE FINANCIAL MANAGEMENT, INC. BROWN ADVISORY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901 SOUTH BOND STREET SUITE #400 Baltimore, Maryland 21231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BROWN ADVISORY INC - MARYLAND BROWN INVESTMENT ADVISORY &amp; TRUST CO - MARYLAND SIGNATURE FINANCIAL MANAGEMENT, INC. - VIRGINIA BROWN ADVISORY LLC - MARYLAND</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5,842,935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6.08  %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BROWN ADVISORY INC - 5,487,188 BROWN INVESTMENT ADVISORY &amp; TRUST CO - 75,048 SIGNATURE FINANCIAL MANAGEMENT, INC. - 3,590 BROWN ADVISORY LLC - 5,408,550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BROWN ADVISORY INC - 0 BROWN INVESTMENT ADVISORY &amp; TRUST CO - 0 SIGNATURE FINANCIAL MANAGEMENT, INC. - 0 BROWN ADVISORY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BROWN ADVISORY INC - 0 BROWN INVESTMENT ADVISORY &amp; TRUST CO - 0 SIGNATURE FINANCIAL MANAGEMENT, INC. - 0 BROWN ADVISORY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BROWN ADVISORY INC - 5,837,497 BROWN INVESTMENT ADVISORY &amp; TRUST CO - 69,610 SIGNATURE FINANCIAL MANAGEMENT, INC. - 4,353 BROWN ADVISORY LLC - 5,763,534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total securities being reported are beneficially owned by investment companies and other managed accounts of direct/indirect subsidiaries of BROWN ADVISORY INC (listed above). These subsidiaries may be deemed to be beneficial owners of the reported securities because applicable investment advisory contracts provide voting and/or investment power over securities.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BROWN ADVISORY INC is a parent holding company filing this schedule on behalf of the following subsidiaries pursuant to Rule 13d-1(b)(1)(ii)(G) under the Securities Exchange Act of 1934: BROWN ADVISORY LLC - IA (Investment Adviser) BROWN INVESTMENT ADVISORY &amp; TRUST CO - BK (Bank) SIGNATURE FINANCIAL MANAGEMENT, INC. - IA (Investment Adviser)</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BROWN ADVISORY INC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/s/Victor Fernandez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Victor Fernandez, Chief Compliance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02"/>
        <w:gridCol w:w="5003"/>
      </w:tblGrid>
      <w:tr>
        <w:trPr/>
        <w:tc>
          <w:tcPr>
            <w:tcW w:w="5202" w:type="dxa"/>
            <w:tcBorders/>
            <w:vAlign w:val="center"/>
          </w:tcPr>
          <w:p>
            <w:pPr>
              <w:pStyle w:val="TableContents"/>
              <w:bidi w:val="0"/>
              <w:spacing w:before="0" w:after="0"/>
              <w:jc w:val="left"/>
              <w:rPr/>
            </w:pPr>
            <w:r>
              <w:rPr/>
              <w:t> </w:t>
            </w:r>
          </w:p>
          <w:tbl>
            <w:tblPr>
              <w:tblW w:w="5521" w:type="dxa"/>
              <w:jc w:val="left"/>
              <w:tblInd w:w="0" w:type="dxa"/>
              <w:tblLayout w:type="fixed"/>
              <w:tblCellMar>
                <w:top w:w="28" w:type="dxa"/>
                <w:left w:w="28" w:type="dxa"/>
                <w:bottom w:w="28" w:type="dxa"/>
                <w:right w:w="28" w:type="dxa"/>
              </w:tblCellMar>
            </w:tblPr>
            <w:tblGrid>
              <w:gridCol w:w="5521"/>
            </w:tblGrid>
            <w:tr>
              <w:trPr/>
              <w:tc>
                <w:tcPr>
                  <w:tcW w:w="5521" w:type="dxa"/>
                  <w:tcBorders/>
                  <w:vAlign w:val="center"/>
                </w:tcPr>
                <w:p>
                  <w:pPr>
                    <w:pStyle w:val="TableContents"/>
                    <w:bidi w:val="0"/>
                    <w:spacing w:before="0" w:after="0"/>
                    <w:jc w:val="left"/>
                    <w:rPr/>
                  </w:pPr>
                  <w:r>
                    <w:rPr/>
                    <w:t>BROWN INVESTMENT ADVISORY &amp; TRUST CO</w:t>
                  </w:r>
                </w:p>
              </w:tc>
            </w:tr>
          </w:tbl>
          <w:p>
            <w:pPr>
              <w:pStyle w:val="TableContents"/>
              <w:bidi w:val="0"/>
              <w:spacing w:before="0" w:after="283"/>
              <w:jc w:val="left"/>
              <w:rPr/>
            </w:pPr>
            <w:r>
              <w:rPr/>
            </w:r>
          </w:p>
        </w:tc>
        <w:tc>
          <w:tcPr>
            <w:tcW w:w="50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/s/Victor Fernandez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Victor Fernandez, Chief Compliance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3"/>
        <w:gridCol w:w="5012"/>
      </w:tblGrid>
      <w:tr>
        <w:trPr/>
        <w:tc>
          <w:tcPr>
            <w:tcW w:w="5193" w:type="dxa"/>
            <w:tcBorders/>
            <w:vAlign w:val="center"/>
          </w:tcPr>
          <w:p>
            <w:pPr>
              <w:pStyle w:val="TableContents"/>
              <w:bidi w:val="0"/>
              <w:spacing w:before="0" w:after="0"/>
              <w:jc w:val="left"/>
              <w:rPr/>
            </w:pPr>
            <w:r>
              <w:rPr/>
              <w:t> </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0"/>
                    <w:jc w:val="left"/>
                    <w:rPr/>
                  </w:pPr>
                  <w:r>
                    <w:rPr/>
                    <w:t>SIGNATURE FINANCIAL MANAGEMENT, INC.</w:t>
                  </w:r>
                </w:p>
              </w:tc>
            </w:tr>
          </w:tbl>
          <w:p>
            <w:pPr>
              <w:pStyle w:val="TableContents"/>
              <w:bidi w:val="0"/>
              <w:spacing w:before="0" w:after="283"/>
              <w:jc w:val="left"/>
              <w:rPr/>
            </w:pPr>
            <w:r>
              <w:rPr/>
            </w:r>
          </w:p>
        </w:tc>
        <w:tc>
          <w:tcPr>
            <w:tcW w:w="50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/s/Victor Fernandez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Victor Fernandez, Chief Compliance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BROWN ADVISORY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/s/Victor Fernandez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Victor Fernandez, Chief Compliance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1500</Words>
  <Characters>7881</Characters>
  <CharactersWithSpaces>9310</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