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Lumexa Imaging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001-43010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41-2605845</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4200 Six Forks Road</w:t>
      </w:r>
    </w:p>
    <w:p>
      <w:pPr>
        <w:spacing w:after="0" w:line="31"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Suite 1000</w:t>
      </w:r>
    </w:p>
    <w:p>
      <w:pPr>
        <w:spacing w:after="0" w:line="9"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Raleigh, North Carolina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27609</w:t>
      </w:r>
    </w:p>
    <w:p>
      <w:pPr>
        <w:spacing w:after="0" w:line="43"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00"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(919) 763-1100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LMRI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On June 10, 2026, Lumexa Imaging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held its 2026 Annual Meeting of Stockholders (the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At the Annual Meeting, the Company’s stockholders voted on: (i) the election of three Class I directors to the Company’s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each to serve until the Company’s 2029 Annual Meeting of Stockholders and until their successors are duly elected and qualified, subject to their earlier death, resignation or removal and (ii) the ratification of the appointment of PricewaterhouseCoopers LLP as the Company’s independent registered public accounting firm for the year ending December 31, 2026.</w:t>
      </w:r>
    </w:p>
    <w:p>
      <w:pPr>
        <w:spacing w:after="0" w:line="183"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As of April 13, 2026, the record date for the Annual Meeting, there were 96,110,039 shares of the Company’s common stock, $0.001 par value per share, issued and outstanding and entitled to vote at the Annual Meeting. At the Annual Meeting, all three director nominees were elected and the appointment of PricewaterhouseCoopers LLP as the Company’s independent registered public accounting firm for the year ending December 31, 2026 was ratified. Set forth below are the final voting results for the proposals submitted to a vote of the Company’s stockholders at the Annual Meeting.</w:t>
      </w:r>
    </w:p>
    <w:p>
      <w:pPr>
        <w:spacing w:after="0" w:line="85" w:lineRule="exact"/>
        <w:rPr>
          <w:sz w:val="20"/>
          <w:szCs w:val="20"/>
          <w:color w:val="auto"/>
        </w:rPr>
      </w:pPr>
    </w:p>
    <w:p>
      <w:pPr>
        <w:ind w:left="424" w:right="240" w:hanging="424"/>
        <w:spacing w:after="0" w:line="26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Annual Meeting, the Company’s stockholders elected, by the vote indicated below, the following three persons as Class I directors to the Board, each to serve until the Company’s 2029 Annual Meeting of Stockholders and until their respective successors are duly elected and qualified, subject to their earlier death, resignation or removal:</w:t>
      </w:r>
    </w:p>
    <w:p>
      <w:pPr>
        <w:spacing w:after="0" w:line="196" w:lineRule="exact"/>
        <w:rPr>
          <w:sz w:val="20"/>
          <w:szCs w:val="20"/>
          <w:color w:val="auto"/>
        </w:rPr>
      </w:pPr>
    </w:p>
    <w:tbl>
      <w:tblPr>
        <w:tblLayout w:type="fixed"/>
        <w:tblInd w:w="884" w:type="dxa"/>
        <w:tblCellMar>
          <w:top w:w="0" w:type="dxa"/>
          <w:left w:w="0" w:type="dxa"/>
          <w:bottom w:w="0" w:type="dxa"/>
          <w:right w:w="0" w:type="dxa"/>
        </w:tblCellMar>
      </w:tblPr>
      <w:tr>
        <w:trPr>
          <w:trHeight w:val="193"/>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8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w w:val="98"/>
              </w:rPr>
              <w:t>Votes Withheld</w:t>
            </w:r>
          </w:p>
        </w:tc>
        <w:tc>
          <w:tcPr>
            <w:tcW w:w="1560" w:type="dxa"/>
            <w:vAlign w:val="bottom"/>
            <w:gridSpan w:val="2"/>
          </w:tcPr>
          <w:p>
            <w:pPr>
              <w:jc w:val="center"/>
              <w:ind w:left="336"/>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3"/>
        </w:trPr>
        <w:tc>
          <w:tcPr>
            <w:tcW w:w="32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Lee Cooper</w:t>
            </w:r>
          </w:p>
        </w:tc>
        <w:tc>
          <w:tcPr>
            <w:tcW w:w="23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87,523,628</w:t>
            </w:r>
          </w:p>
        </w:tc>
        <w:tc>
          <w:tcPr>
            <w:tcW w:w="4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3,328,050</w:t>
            </w:r>
          </w:p>
        </w:tc>
        <w:tc>
          <w:tcPr>
            <w:tcW w:w="4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826,898</w:t>
            </w:r>
          </w:p>
        </w:tc>
      </w:tr>
      <w:tr>
        <w:trPr>
          <w:trHeight w:val="216"/>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Regan</w:t>
            </w:r>
          </w:p>
        </w:tc>
        <w:tc>
          <w:tcPr>
            <w:tcW w:w="3120" w:type="dxa"/>
            <w:vAlign w:val="bottom"/>
            <w:gridSpan w:val="2"/>
          </w:tcPr>
          <w:p>
            <w:pPr>
              <w:jc w:val="center"/>
              <w:ind w:left="2190"/>
              <w:spacing w:after="0"/>
              <w:rPr>
                <w:sz w:val="20"/>
                <w:szCs w:val="20"/>
                <w:color w:val="auto"/>
              </w:rPr>
            </w:pPr>
            <w:r>
              <w:rPr>
                <w:rFonts w:ascii="Times New Roman" w:cs="Times New Roman" w:eastAsia="Times New Roman" w:hAnsi="Times New Roman"/>
                <w:sz w:val="18"/>
                <w:szCs w:val="18"/>
                <w:color w:val="auto"/>
                <w:w w:val="98"/>
              </w:rPr>
              <w:t>80,044,532</w:t>
            </w:r>
          </w:p>
        </w:tc>
        <w:tc>
          <w:tcPr>
            <w:tcW w:w="1380" w:type="dxa"/>
            <w:vAlign w:val="bottom"/>
            <w:gridSpan w:val="2"/>
          </w:tcPr>
          <w:p>
            <w:pPr>
              <w:jc w:val="center"/>
              <w:ind w:left="336"/>
              <w:spacing w:after="0"/>
              <w:rPr>
                <w:sz w:val="20"/>
                <w:szCs w:val="20"/>
                <w:color w:val="auto"/>
              </w:rPr>
            </w:pPr>
            <w:r>
              <w:rPr>
                <w:rFonts w:ascii="Times New Roman" w:cs="Times New Roman" w:eastAsia="Times New Roman" w:hAnsi="Times New Roman"/>
                <w:sz w:val="18"/>
                <w:szCs w:val="18"/>
                <w:color w:val="auto"/>
                <w:w w:val="98"/>
              </w:rPr>
              <w:t>10,807,146</w:t>
            </w:r>
          </w:p>
        </w:tc>
        <w:tc>
          <w:tcPr>
            <w:tcW w:w="1560" w:type="dxa"/>
            <w:vAlign w:val="bottom"/>
            <w:gridSpan w:val="2"/>
          </w:tcPr>
          <w:p>
            <w:pPr>
              <w:jc w:val="center"/>
              <w:ind w:left="336"/>
              <w:spacing w:after="0"/>
              <w:rPr>
                <w:sz w:val="20"/>
                <w:szCs w:val="20"/>
                <w:color w:val="auto"/>
              </w:rPr>
            </w:pPr>
            <w:r>
              <w:rPr>
                <w:rFonts w:ascii="Times New Roman" w:cs="Times New Roman" w:eastAsia="Times New Roman" w:hAnsi="Times New Roman"/>
                <w:sz w:val="18"/>
                <w:szCs w:val="18"/>
                <w:color w:val="auto"/>
                <w:w w:val="99"/>
              </w:rPr>
              <w:t>826,898</w:t>
            </w:r>
          </w:p>
        </w:tc>
      </w:tr>
      <w:tr>
        <w:trPr>
          <w:trHeight w:val="216"/>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Caitlin Zulla</w:t>
            </w:r>
          </w:p>
        </w:tc>
        <w:tc>
          <w:tcPr>
            <w:tcW w:w="3120" w:type="dxa"/>
            <w:vAlign w:val="bottom"/>
            <w:gridSpan w:val="2"/>
            <w:shd w:val="clear" w:color="auto" w:fill="CCEEFF"/>
          </w:tcPr>
          <w:p>
            <w:pPr>
              <w:jc w:val="center"/>
              <w:ind w:left="2190"/>
              <w:spacing w:after="0"/>
              <w:rPr>
                <w:sz w:val="20"/>
                <w:szCs w:val="20"/>
                <w:color w:val="auto"/>
              </w:rPr>
            </w:pPr>
            <w:r>
              <w:rPr>
                <w:rFonts w:ascii="Times New Roman" w:cs="Times New Roman" w:eastAsia="Times New Roman" w:hAnsi="Times New Roman"/>
                <w:sz w:val="18"/>
                <w:szCs w:val="18"/>
                <w:color w:val="auto"/>
                <w:w w:val="98"/>
              </w:rPr>
              <w:t>87,156,663</w:t>
            </w:r>
          </w:p>
        </w:tc>
        <w:tc>
          <w:tcPr>
            <w:tcW w:w="1380" w:type="dxa"/>
            <w:vAlign w:val="bottom"/>
            <w:gridSpan w:val="2"/>
            <w:shd w:val="clear" w:color="auto" w:fill="CCEEFF"/>
          </w:tcPr>
          <w:p>
            <w:pPr>
              <w:jc w:val="center"/>
              <w:ind w:left="336"/>
              <w:spacing w:after="0"/>
              <w:rPr>
                <w:sz w:val="20"/>
                <w:szCs w:val="20"/>
                <w:color w:val="auto"/>
              </w:rPr>
            </w:pPr>
            <w:r>
              <w:rPr>
                <w:rFonts w:ascii="Times New Roman" w:cs="Times New Roman" w:eastAsia="Times New Roman" w:hAnsi="Times New Roman"/>
                <w:sz w:val="18"/>
                <w:szCs w:val="18"/>
                <w:color w:val="auto"/>
                <w:w w:val="99"/>
              </w:rPr>
              <w:t>3,695,015</w:t>
            </w:r>
          </w:p>
        </w:tc>
        <w:tc>
          <w:tcPr>
            <w:tcW w:w="1560" w:type="dxa"/>
            <w:vAlign w:val="bottom"/>
            <w:gridSpan w:val="2"/>
            <w:shd w:val="clear" w:color="auto" w:fill="CCEEFF"/>
          </w:tcPr>
          <w:p>
            <w:pPr>
              <w:jc w:val="center"/>
              <w:ind w:left="336"/>
              <w:spacing w:after="0"/>
              <w:rPr>
                <w:sz w:val="20"/>
                <w:szCs w:val="20"/>
                <w:color w:val="auto"/>
              </w:rPr>
            </w:pPr>
            <w:r>
              <w:rPr>
                <w:rFonts w:ascii="Times New Roman" w:cs="Times New Roman" w:eastAsia="Times New Roman" w:hAnsi="Times New Roman"/>
                <w:sz w:val="18"/>
                <w:szCs w:val="18"/>
                <w:color w:val="auto"/>
                <w:w w:val="99"/>
              </w:rPr>
              <w:t>826,898</w:t>
            </w:r>
          </w:p>
        </w:tc>
      </w:tr>
    </w:tbl>
    <w:p>
      <w:pPr>
        <w:spacing w:after="0" w:line="225" w:lineRule="exact"/>
        <w:rPr>
          <w:sz w:val="20"/>
          <w:szCs w:val="20"/>
          <w:color w:val="auto"/>
        </w:rPr>
      </w:pPr>
    </w:p>
    <w:p>
      <w:pPr>
        <w:ind w:left="544" w:right="260" w:hanging="544"/>
        <w:spacing w:after="0" w:line="282" w:lineRule="auto"/>
        <w:tabs>
          <w:tab w:leader="none" w:pos="5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Annual Meeting, the Company’s stockholders ratified the appointment of PricewaterhouseCoopers LLP as the Company’s independent registered public accounting firm for the year ending December 31, 2026:</w:t>
      </w:r>
    </w:p>
    <w:p>
      <w:pPr>
        <w:spacing w:after="0" w:line="182" w:lineRule="exact"/>
        <w:rPr>
          <w:sz w:val="20"/>
          <w:szCs w:val="20"/>
          <w:color w:val="auto"/>
        </w:rPr>
      </w:pPr>
    </w:p>
    <w:tbl>
      <w:tblPr>
        <w:tblLayout w:type="fixed"/>
        <w:tblInd w:w="884" w:type="dxa"/>
        <w:tblCellMar>
          <w:top w:w="0" w:type="dxa"/>
          <w:left w:w="0" w:type="dxa"/>
          <w:bottom w:w="0" w:type="dxa"/>
          <w:right w:w="0" w:type="dxa"/>
        </w:tblCellMar>
      </w:tblPr>
      <w:tr>
        <w:trPr>
          <w:trHeight w:val="187"/>
        </w:trPr>
        <w:tc>
          <w:tcPr>
            <w:tcW w:w="3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Votes For</w:t>
            </w:r>
          </w:p>
        </w:tc>
        <w:tc>
          <w:tcPr>
            <w:tcW w:w="30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10"/>
        </w:trPr>
        <w:tc>
          <w:tcPr>
            <w:tcW w:w="3140" w:type="dxa"/>
            <w:vAlign w:val="bottom"/>
            <w:tcBorders>
              <w:top w:val="single" w:sz="8" w:color="auto"/>
            </w:tcBorders>
            <w:shd w:val="clear" w:color="auto" w:fill="CCEEFF"/>
          </w:tcPr>
          <w:p>
            <w:pPr>
              <w:jc w:val="right"/>
              <w:ind w:right="1079"/>
              <w:spacing w:after="0"/>
              <w:rPr>
                <w:sz w:val="20"/>
                <w:szCs w:val="20"/>
                <w:color w:val="auto"/>
              </w:rPr>
            </w:pPr>
            <w:r>
              <w:rPr>
                <w:rFonts w:ascii="Times New Roman" w:cs="Times New Roman" w:eastAsia="Times New Roman" w:hAnsi="Times New Roman"/>
                <w:sz w:val="18"/>
                <w:szCs w:val="18"/>
                <w:color w:val="auto"/>
              </w:rPr>
              <w:t>91,555,829</w:t>
            </w:r>
          </w:p>
        </w:tc>
        <w:tc>
          <w:tcPr>
            <w:tcW w:w="12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8"/>
                <w:szCs w:val="18"/>
                <w:color w:val="auto"/>
              </w:rPr>
              <w:t>66,858</w:t>
            </w:r>
          </w:p>
        </w:tc>
        <w:tc>
          <w:tcPr>
            <w:tcW w:w="8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auto"/>
            </w:tcBorders>
            <w:shd w:val="clear" w:color="auto" w:fill="CCEEFF"/>
          </w:tcPr>
          <w:p>
            <w:pPr>
              <w:jc w:val="right"/>
              <w:ind w:right="1159"/>
              <w:spacing w:after="0"/>
              <w:rPr>
                <w:sz w:val="20"/>
                <w:szCs w:val="20"/>
                <w:color w:val="auto"/>
              </w:rPr>
            </w:pPr>
            <w:r>
              <w:rPr>
                <w:rFonts w:ascii="Times New Roman" w:cs="Times New Roman" w:eastAsia="Times New Roman" w:hAnsi="Times New Roman"/>
                <w:sz w:val="18"/>
                <w:szCs w:val="18"/>
                <w:color w:val="auto"/>
              </w:rPr>
              <w:t>55,889</w:t>
            </w:r>
          </w:p>
        </w:tc>
      </w:tr>
    </w:tbl>
    <w:p>
      <w:pPr>
        <w:spacing w:after="0" w:line="342"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264" w:hanging="264"/>
        <w:spacing w:after="0"/>
        <w:tabs>
          <w:tab w:leader="none" w:pos="2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24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i w:val="1"/>
          <w:iCs w:val="1"/>
          <w:color w:val="auto"/>
        </w:rPr>
        <w:t>Exhibit</w:t>
      </w:r>
    </w:p>
    <w:p>
      <w:pPr>
        <w:spacing w:after="0" w:line="8" w:lineRule="exact"/>
        <w:rPr>
          <w:sz w:val="20"/>
          <w:szCs w:val="20"/>
          <w:color w:val="auto"/>
        </w:rPr>
      </w:pPr>
    </w:p>
    <w:p>
      <w:pPr>
        <w:ind w:left="124"/>
        <w:spacing w:after="0"/>
        <w:tabs>
          <w:tab w:leader="none" w:pos="844" w:val="left"/>
        </w:tabs>
        <w:rPr>
          <w:sz w:val="20"/>
          <w:szCs w:val="20"/>
          <w:color w:val="auto"/>
        </w:rPr>
      </w:pPr>
      <w:r>
        <w:rPr>
          <w:rFonts w:ascii="Times New Roman" w:cs="Times New Roman" w:eastAsia="Times New Roman" w:hAnsi="Times New Roman"/>
          <w:sz w:val="14"/>
          <w:szCs w:val="14"/>
          <w:b w:val="1"/>
          <w:bCs w:val="1"/>
          <w:i w:val="1"/>
          <w:iCs w:val="1"/>
          <w:color w:val="auto"/>
        </w:rPr>
        <w:t>No.</w:t>
      </w:r>
      <w:r>
        <w:rPr>
          <w:sz w:val="20"/>
          <w:szCs w:val="20"/>
          <w:color w:val="auto"/>
        </w:rPr>
        <w:tab/>
      </w:r>
      <w:r>
        <w:rPr>
          <w:rFonts w:ascii="Times New Roman" w:cs="Times New Roman" w:eastAsia="Times New Roman" w:hAnsi="Times New Roman"/>
          <w:sz w:val="14"/>
          <w:szCs w:val="14"/>
          <w:b w:val="1"/>
          <w:bCs w:val="1"/>
          <w:i w:val="1"/>
          <w:i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825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2575" cy="8890"/>
                    </a:xfrm>
                    <a:prstGeom prst="rect">
                      <a:avLst/>
                    </a:prstGeom>
                    <a:noFill/>
                  </pic:spPr>
                </pic:pic>
              </a:graphicData>
            </a:graphic>
          </wp:anchor>
        </w:drawing>
      </w:r>
    </w:p>
    <w:p>
      <w:pPr>
        <w:spacing w:after="0" w:line="77" w:lineRule="exact"/>
        <w:rPr>
          <w:sz w:val="20"/>
          <w:szCs w:val="20"/>
          <w:color w:val="auto"/>
        </w:rPr>
      </w:pPr>
    </w:p>
    <w:p>
      <w:pPr>
        <w:ind w:left="4"/>
        <w:spacing w:after="0"/>
        <w:tabs>
          <w:tab w:leader="none" w:pos="84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4"/>
          </w:cols>
          <w:pgMar w:left="436"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LUMEXA IMAGING HOLDINGS, INC.</w:t>
            </w:r>
          </w:p>
        </w:tc>
      </w:tr>
      <w:tr>
        <w:trPr>
          <w:trHeight w:val="432"/>
        </w:trPr>
        <w:tc>
          <w:tcPr>
            <w:tcW w:w="3480" w:type="dxa"/>
            <w:vAlign w:val="bottom"/>
          </w:tcPr>
          <w:p>
            <w:pPr>
              <w:spacing w:after="0"/>
              <w:rPr>
                <w:sz w:val="24"/>
                <w:szCs w:val="24"/>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 Anthony Martin</w:t>
            </w:r>
          </w:p>
        </w:tc>
      </w:tr>
      <w:tr>
        <w:trPr>
          <w:trHeight w:val="205"/>
        </w:trPr>
        <w:tc>
          <w:tcPr>
            <w:tcW w:w="3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Date: June 12, 2026</w:t>
            </w: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 Anthony Martin</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2026-06-12T15:10:13Z</dcterms:created>
  <dcterms:modified xsi:type="dcterms:W3CDTF">2026-06-12T15:10:13Z</dcterms:modified>
</cp:coreProperties>
</file>